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A73F41" w14:paraId="2EC0B364" w14:textId="77777777" w:rsidTr="00971CCF">
        <w:tc>
          <w:tcPr>
            <w:tcW w:w="1731" w:type="dxa"/>
            <w:shd w:val="clear" w:color="auto" w:fill="F3F3F3"/>
            <w:tcMar>
              <w:top w:w="170" w:type="dxa"/>
              <w:bottom w:w="170" w:type="dxa"/>
            </w:tcMar>
          </w:tcPr>
          <w:p w14:paraId="2EC0B362" w14:textId="77777777" w:rsidR="00A73F41" w:rsidRDefault="00A73F41">
            <w:pPr>
              <w:pStyle w:val="StyleBoldBefore6ptAfter6pt"/>
              <w:spacing w:before="0" w:after="0"/>
            </w:pPr>
            <w:r>
              <w:t>Title</w:t>
            </w:r>
          </w:p>
        </w:tc>
        <w:tc>
          <w:tcPr>
            <w:tcW w:w="8097" w:type="dxa"/>
            <w:gridSpan w:val="3"/>
            <w:tcMar>
              <w:top w:w="170" w:type="dxa"/>
              <w:bottom w:w="170" w:type="dxa"/>
            </w:tcMar>
            <w:vAlign w:val="center"/>
          </w:tcPr>
          <w:p w14:paraId="2EC0B363" w14:textId="77777777" w:rsidR="00A73F41" w:rsidRDefault="00971CCF">
            <w:pPr>
              <w:rPr>
                <w:b/>
              </w:rPr>
            </w:pPr>
            <w:r>
              <w:rPr>
                <w:b/>
              </w:rPr>
              <w:t>Manage interpersonal conflict</w:t>
            </w:r>
          </w:p>
        </w:tc>
      </w:tr>
      <w:tr w:rsidR="00A73F41" w14:paraId="2EC0B369" w14:textId="77777777" w:rsidTr="00971CCF">
        <w:tc>
          <w:tcPr>
            <w:tcW w:w="1731" w:type="dxa"/>
            <w:shd w:val="clear" w:color="auto" w:fill="F3F3F3"/>
            <w:tcMar>
              <w:top w:w="170" w:type="dxa"/>
              <w:bottom w:w="170" w:type="dxa"/>
            </w:tcMar>
          </w:tcPr>
          <w:p w14:paraId="2EC0B365" w14:textId="77777777" w:rsidR="00A73F41" w:rsidRDefault="00A73F41">
            <w:pPr>
              <w:pStyle w:val="StyleBoldBefore6ptAfter6pt"/>
              <w:spacing w:before="0" w:after="0"/>
            </w:pPr>
            <w:r>
              <w:t>Level</w:t>
            </w:r>
          </w:p>
        </w:tc>
        <w:tc>
          <w:tcPr>
            <w:tcW w:w="3177" w:type="dxa"/>
            <w:tcMar>
              <w:top w:w="170" w:type="dxa"/>
              <w:bottom w:w="170" w:type="dxa"/>
            </w:tcMar>
            <w:vAlign w:val="center"/>
          </w:tcPr>
          <w:p w14:paraId="2EC0B366" w14:textId="77777777" w:rsidR="00A73F41" w:rsidRDefault="00971CCF">
            <w:pPr>
              <w:rPr>
                <w:b/>
              </w:rPr>
            </w:pPr>
            <w:r>
              <w:rPr>
                <w:b/>
              </w:rPr>
              <w:t>4</w:t>
            </w:r>
          </w:p>
        </w:tc>
        <w:tc>
          <w:tcPr>
            <w:tcW w:w="1729" w:type="dxa"/>
            <w:shd w:val="clear" w:color="auto" w:fill="F3F3F3"/>
            <w:tcMar>
              <w:top w:w="170" w:type="dxa"/>
              <w:bottom w:w="170" w:type="dxa"/>
            </w:tcMar>
          </w:tcPr>
          <w:p w14:paraId="2EC0B367" w14:textId="77777777" w:rsidR="00A73F41" w:rsidRDefault="00A73F41">
            <w:pPr>
              <w:rPr>
                <w:b/>
                <w:color w:val="000000"/>
              </w:rPr>
            </w:pPr>
            <w:r>
              <w:rPr>
                <w:b/>
              </w:rPr>
              <w:t>Credits</w:t>
            </w:r>
          </w:p>
        </w:tc>
        <w:tc>
          <w:tcPr>
            <w:tcW w:w="3575" w:type="dxa"/>
            <w:tcMar>
              <w:top w:w="170" w:type="dxa"/>
              <w:bottom w:w="170" w:type="dxa"/>
            </w:tcMar>
            <w:vAlign w:val="center"/>
          </w:tcPr>
          <w:p w14:paraId="2EC0B368" w14:textId="77777777" w:rsidR="00A73F41" w:rsidRDefault="00971CCF">
            <w:pPr>
              <w:rPr>
                <w:b/>
              </w:rPr>
            </w:pPr>
            <w:r>
              <w:rPr>
                <w:b/>
              </w:rPr>
              <w:t>4</w:t>
            </w:r>
          </w:p>
        </w:tc>
      </w:tr>
    </w:tbl>
    <w:p w14:paraId="2EC0B36A"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A73F41" w14:paraId="2EC0B36D" w14:textId="77777777" w:rsidTr="00971CCF">
        <w:tc>
          <w:tcPr>
            <w:tcW w:w="2868" w:type="dxa"/>
            <w:shd w:val="clear" w:color="auto" w:fill="F3F3F3"/>
            <w:tcMar>
              <w:top w:w="170" w:type="dxa"/>
              <w:bottom w:w="170" w:type="dxa"/>
            </w:tcMar>
          </w:tcPr>
          <w:p w14:paraId="2EC0B36B" w14:textId="77777777" w:rsidR="00A73F41" w:rsidRDefault="00A73F41">
            <w:pPr>
              <w:pStyle w:val="StyleBoldBefore6ptAfter6pt"/>
              <w:spacing w:before="0" w:after="0"/>
            </w:pPr>
            <w:r>
              <w:rPr>
                <w:bCs w:val="0"/>
              </w:rPr>
              <w:t>Purpose</w:t>
            </w:r>
          </w:p>
        </w:tc>
        <w:tc>
          <w:tcPr>
            <w:tcW w:w="6974" w:type="dxa"/>
            <w:tcMar>
              <w:top w:w="170" w:type="dxa"/>
              <w:bottom w:w="170" w:type="dxa"/>
            </w:tcMar>
            <w:vAlign w:val="center"/>
          </w:tcPr>
          <w:p w14:paraId="2EC0B36C" w14:textId="77777777" w:rsidR="00A73F41" w:rsidRDefault="00971CCF">
            <w:r>
              <w:t>People credited with this unit standard are able to: identify and explain the issues of an interpersonal conflict; develop and implement a strategy to manage the interpersonal conflict; and evaluate the strategy.</w:t>
            </w:r>
          </w:p>
        </w:tc>
      </w:tr>
    </w:tbl>
    <w:p w14:paraId="2EC0B36E"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A73F41" w14:paraId="2EC0B371" w14:textId="77777777" w:rsidTr="00971CCF">
        <w:tc>
          <w:tcPr>
            <w:tcW w:w="2868" w:type="dxa"/>
            <w:shd w:val="clear" w:color="auto" w:fill="F3F3F3"/>
            <w:tcMar>
              <w:top w:w="170" w:type="dxa"/>
              <w:bottom w:w="170" w:type="dxa"/>
            </w:tcMar>
          </w:tcPr>
          <w:p w14:paraId="2EC0B36F" w14:textId="77777777" w:rsidR="00A73F41" w:rsidRDefault="00A73F41">
            <w:pPr>
              <w:pStyle w:val="StyleBoldBefore6ptAfter6pt"/>
              <w:spacing w:before="0" w:after="0"/>
              <w:rPr>
                <w:bCs w:val="0"/>
              </w:rPr>
            </w:pPr>
            <w:r>
              <w:rPr>
                <w:bCs w:val="0"/>
              </w:rPr>
              <w:t>Classification</w:t>
            </w:r>
          </w:p>
        </w:tc>
        <w:tc>
          <w:tcPr>
            <w:tcW w:w="6974" w:type="dxa"/>
            <w:tcMar>
              <w:top w:w="170" w:type="dxa"/>
              <w:bottom w:w="170" w:type="dxa"/>
            </w:tcMar>
            <w:vAlign w:val="center"/>
          </w:tcPr>
          <w:p w14:paraId="2EC0B370" w14:textId="77777777" w:rsidR="00A73F41" w:rsidRDefault="00971CCF">
            <w:r>
              <w:t>Communication Skills &gt; Interpersonal Communications</w:t>
            </w:r>
          </w:p>
        </w:tc>
      </w:tr>
    </w:tbl>
    <w:p w14:paraId="2EC0B372"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A73F41" w14:paraId="2EC0B375" w14:textId="77777777">
        <w:tc>
          <w:tcPr>
            <w:tcW w:w="2868" w:type="dxa"/>
            <w:shd w:val="clear" w:color="auto" w:fill="F3F3F3"/>
            <w:tcMar>
              <w:top w:w="170" w:type="dxa"/>
              <w:bottom w:w="170" w:type="dxa"/>
            </w:tcMar>
          </w:tcPr>
          <w:p w14:paraId="2EC0B373" w14:textId="77777777" w:rsidR="00A73F41" w:rsidRDefault="00A73F41">
            <w:pPr>
              <w:pStyle w:val="StyleBoldBefore6ptAfter6pt"/>
              <w:spacing w:before="0" w:after="0"/>
              <w:rPr>
                <w:bCs w:val="0"/>
              </w:rPr>
            </w:pPr>
            <w:r>
              <w:rPr>
                <w:bCs w:val="0"/>
              </w:rPr>
              <w:t>Available grade</w:t>
            </w:r>
          </w:p>
        </w:tc>
        <w:tc>
          <w:tcPr>
            <w:tcW w:w="6974" w:type="dxa"/>
            <w:tcMar>
              <w:top w:w="170" w:type="dxa"/>
              <w:bottom w:w="170" w:type="dxa"/>
            </w:tcMar>
          </w:tcPr>
          <w:p w14:paraId="2EC0B374" w14:textId="0EA95C17" w:rsidR="00A73F41" w:rsidRDefault="00245C35">
            <w:r>
              <w:t>Achieved</w:t>
            </w:r>
          </w:p>
        </w:tc>
      </w:tr>
    </w:tbl>
    <w:p w14:paraId="2EC0B382" w14:textId="77777777" w:rsidR="00A73F41" w:rsidRDefault="00A73F41">
      <w:pPr>
        <w:rPr>
          <w:rFonts w:cs="Arial"/>
        </w:rPr>
      </w:pPr>
    </w:p>
    <w:p w14:paraId="2EC0B383" w14:textId="77777777" w:rsidR="00A73F41" w:rsidRDefault="00EE3E61">
      <w:pPr>
        <w:pBdr>
          <w:top w:val="single" w:sz="4" w:space="1" w:color="auto"/>
        </w:pBdr>
        <w:tabs>
          <w:tab w:val="left" w:pos="567"/>
        </w:tabs>
        <w:rPr>
          <w:rFonts w:cs="Arial"/>
          <w:b/>
          <w:bCs/>
          <w:szCs w:val="24"/>
        </w:rPr>
      </w:pPr>
      <w:r>
        <w:rPr>
          <w:rFonts w:cs="Arial"/>
          <w:b/>
          <w:bCs/>
          <w:szCs w:val="24"/>
        </w:rPr>
        <w:t>Guidance Information</w:t>
      </w:r>
    </w:p>
    <w:p w14:paraId="2EC0B384" w14:textId="77777777" w:rsidR="00971CCF" w:rsidRPr="00971CCF" w:rsidRDefault="00971CCF" w:rsidP="00971CCF">
      <w:pPr>
        <w:tabs>
          <w:tab w:val="left" w:pos="567"/>
          <w:tab w:val="left" w:pos="1134"/>
          <w:tab w:val="left" w:pos="1417"/>
        </w:tabs>
        <w:ind w:left="567" w:hanging="567"/>
        <w:rPr>
          <w:rFonts w:cs="Arial"/>
          <w:b/>
        </w:rPr>
      </w:pPr>
    </w:p>
    <w:p w14:paraId="2EC0B385" w14:textId="77777777" w:rsidR="00971CCF" w:rsidRPr="00971CCF" w:rsidRDefault="00971CCF" w:rsidP="00971CCF">
      <w:pPr>
        <w:tabs>
          <w:tab w:val="left" w:pos="567"/>
          <w:tab w:val="left" w:pos="1134"/>
          <w:tab w:val="left" w:pos="1417"/>
        </w:tabs>
        <w:ind w:left="567" w:hanging="567"/>
        <w:rPr>
          <w:rFonts w:cs="Arial"/>
        </w:rPr>
      </w:pPr>
      <w:r w:rsidRPr="00971CCF">
        <w:rPr>
          <w:rFonts w:cs="Arial"/>
        </w:rPr>
        <w:t>1</w:t>
      </w:r>
      <w:r w:rsidRPr="00971CCF">
        <w:rPr>
          <w:rFonts w:cs="Arial"/>
        </w:rPr>
        <w:tab/>
        <w:t>Definitions</w:t>
      </w:r>
    </w:p>
    <w:p w14:paraId="2EC0B386" w14:textId="1BA03FC9" w:rsidR="00971CCF" w:rsidRPr="00971CCF" w:rsidRDefault="00BF381F" w:rsidP="00971CCF">
      <w:pPr>
        <w:tabs>
          <w:tab w:val="left" w:pos="567"/>
          <w:tab w:val="left" w:pos="1134"/>
          <w:tab w:val="left" w:pos="1417"/>
        </w:tabs>
        <w:ind w:left="567" w:hanging="567"/>
        <w:rPr>
          <w:rFonts w:cs="Arial"/>
        </w:rPr>
      </w:pPr>
      <w:r>
        <w:rPr>
          <w:rFonts w:cs="Arial"/>
        </w:rPr>
        <w:tab/>
      </w:r>
      <w:r w:rsidR="00971CCF" w:rsidRPr="00971CCF">
        <w:rPr>
          <w:rFonts w:cs="Arial"/>
        </w:rPr>
        <w:t>The term</w:t>
      </w:r>
      <w:r w:rsidR="00971CCF" w:rsidRPr="00971CCF">
        <w:rPr>
          <w:rFonts w:cs="Arial"/>
          <w:i/>
        </w:rPr>
        <w:t xml:space="preserve"> conflict</w:t>
      </w:r>
      <w:r w:rsidR="00971CCF" w:rsidRPr="00971CCF">
        <w:rPr>
          <w:rFonts w:cs="Arial"/>
        </w:rPr>
        <w:t xml:space="preserve"> refers to perceived differences between two or more parties that result in opposition and may relate to but is not limited to: workplace, family, social.</w:t>
      </w:r>
    </w:p>
    <w:p w14:paraId="2EC0B387" w14:textId="6DBBCA19" w:rsidR="00971CCF" w:rsidRPr="00971CCF" w:rsidRDefault="00BF381F" w:rsidP="00971CCF">
      <w:pPr>
        <w:tabs>
          <w:tab w:val="left" w:pos="567"/>
          <w:tab w:val="left" w:pos="1134"/>
          <w:tab w:val="left" w:pos="1417"/>
        </w:tabs>
        <w:ind w:left="567" w:hanging="567"/>
        <w:rPr>
          <w:rFonts w:cs="Arial"/>
        </w:rPr>
      </w:pPr>
      <w:r>
        <w:rPr>
          <w:rFonts w:cs="Arial"/>
          <w:i/>
        </w:rPr>
        <w:tab/>
      </w:r>
      <w:r w:rsidR="00971CCF" w:rsidRPr="00971CCF">
        <w:rPr>
          <w:rFonts w:cs="Arial"/>
          <w:i/>
        </w:rPr>
        <w:t xml:space="preserve">Parties </w:t>
      </w:r>
      <w:r w:rsidR="00971CCF" w:rsidRPr="00971CCF">
        <w:rPr>
          <w:rFonts w:cs="Arial"/>
        </w:rPr>
        <w:t>refer to the people involved in the conflict.</w:t>
      </w:r>
    </w:p>
    <w:p w14:paraId="2EC0B388" w14:textId="5845173E" w:rsidR="00971CCF" w:rsidRPr="00971CCF" w:rsidRDefault="00BF381F" w:rsidP="00971CCF">
      <w:pPr>
        <w:tabs>
          <w:tab w:val="left" w:pos="567"/>
          <w:tab w:val="left" w:pos="1134"/>
          <w:tab w:val="left" w:pos="1417"/>
        </w:tabs>
        <w:ind w:left="567" w:hanging="567"/>
        <w:rPr>
          <w:rFonts w:cs="Arial"/>
        </w:rPr>
      </w:pPr>
      <w:r>
        <w:rPr>
          <w:rFonts w:cs="Arial"/>
          <w:i/>
        </w:rPr>
        <w:tab/>
      </w:r>
      <w:r w:rsidR="00971CCF" w:rsidRPr="00971CCF">
        <w:rPr>
          <w:rFonts w:cs="Arial"/>
          <w:i/>
        </w:rPr>
        <w:t xml:space="preserve">Voice modulation </w:t>
      </w:r>
      <w:r w:rsidR="00971CCF" w:rsidRPr="00971CCF">
        <w:rPr>
          <w:rFonts w:cs="Arial"/>
        </w:rPr>
        <w:t>refers to the variation of the quality of one's voice with regard to inflection, tone, pitch, and intensity.</w:t>
      </w:r>
    </w:p>
    <w:p w14:paraId="2EC0B389" w14:textId="77777777" w:rsidR="00971CCF" w:rsidRPr="00971CCF" w:rsidRDefault="00971CCF" w:rsidP="00971CCF">
      <w:pPr>
        <w:tabs>
          <w:tab w:val="left" w:pos="567"/>
          <w:tab w:val="left" w:pos="1134"/>
          <w:tab w:val="left" w:pos="1417"/>
        </w:tabs>
        <w:ind w:left="567" w:hanging="567"/>
        <w:rPr>
          <w:rFonts w:cs="Arial"/>
          <w:i/>
        </w:rPr>
      </w:pPr>
    </w:p>
    <w:p w14:paraId="2EC0B38A" w14:textId="5FAEA444" w:rsidR="00971CCF" w:rsidRPr="00971CCF" w:rsidRDefault="00971CCF" w:rsidP="00971CCF">
      <w:pPr>
        <w:tabs>
          <w:tab w:val="left" w:pos="567"/>
          <w:tab w:val="left" w:pos="1134"/>
          <w:tab w:val="left" w:pos="1417"/>
        </w:tabs>
        <w:ind w:left="567" w:hanging="567"/>
        <w:rPr>
          <w:rFonts w:cs="Arial"/>
        </w:rPr>
      </w:pPr>
      <w:r w:rsidRPr="00971CCF">
        <w:rPr>
          <w:rFonts w:cs="Arial"/>
        </w:rPr>
        <w:t>2</w:t>
      </w:r>
      <w:r w:rsidRPr="00971CCF">
        <w:rPr>
          <w:rFonts w:cs="Arial"/>
        </w:rPr>
        <w:tab/>
      </w:r>
      <w:r w:rsidR="00794681">
        <w:t>Candidates must be assessed against this unit standard in a real-life workplace context using naturally occurring evidence, or in simulated conditions relevant to the candidate which require performance equivalent to a real-life context</w:t>
      </w:r>
      <w:r w:rsidRPr="00971CCF">
        <w:rPr>
          <w:rFonts w:cs="Arial"/>
        </w:rPr>
        <w:t>.</w:t>
      </w:r>
    </w:p>
    <w:p w14:paraId="4C2D4147" w14:textId="77777777" w:rsidR="00BF5F84" w:rsidRPr="00971CCF" w:rsidRDefault="00BF5F84" w:rsidP="00971CCF">
      <w:pPr>
        <w:tabs>
          <w:tab w:val="left" w:pos="567"/>
          <w:tab w:val="left" w:pos="1134"/>
          <w:tab w:val="left" w:pos="1417"/>
        </w:tabs>
        <w:ind w:left="567" w:hanging="567"/>
        <w:rPr>
          <w:rFonts w:cs="Arial"/>
        </w:rPr>
      </w:pPr>
    </w:p>
    <w:p w14:paraId="2EC0B38C" w14:textId="6D999098" w:rsidR="00971CCF" w:rsidRPr="00971CCF" w:rsidRDefault="00BF381F" w:rsidP="00971CCF">
      <w:pPr>
        <w:tabs>
          <w:tab w:val="left" w:pos="567"/>
          <w:tab w:val="left" w:pos="1134"/>
          <w:tab w:val="left" w:pos="1417"/>
        </w:tabs>
        <w:ind w:left="567" w:hanging="567"/>
        <w:rPr>
          <w:rFonts w:cs="Arial"/>
        </w:rPr>
      </w:pPr>
      <w:r>
        <w:rPr>
          <w:rFonts w:cs="Arial"/>
        </w:rPr>
        <w:tab/>
      </w:r>
      <w:r w:rsidR="00971CCF" w:rsidRPr="00971CCF">
        <w:rPr>
          <w:rFonts w:cs="Arial"/>
        </w:rPr>
        <w:t>Simulated conditions, if used, must enable the candidate to implement and evaluate the strategy.</w:t>
      </w:r>
    </w:p>
    <w:p w14:paraId="2EC0B38D" w14:textId="77777777" w:rsidR="00971CCF" w:rsidRPr="00971CCF" w:rsidRDefault="00971CCF" w:rsidP="00971CCF">
      <w:pPr>
        <w:tabs>
          <w:tab w:val="left" w:pos="567"/>
          <w:tab w:val="left" w:pos="1134"/>
          <w:tab w:val="left" w:pos="1417"/>
        </w:tabs>
        <w:ind w:left="567" w:hanging="567"/>
        <w:rPr>
          <w:rFonts w:cs="Arial"/>
        </w:rPr>
      </w:pPr>
    </w:p>
    <w:p w14:paraId="2EC0B38E" w14:textId="49E0A9B5" w:rsidR="00971CCF" w:rsidRPr="00971CCF" w:rsidRDefault="00794681" w:rsidP="00971CCF">
      <w:pPr>
        <w:tabs>
          <w:tab w:val="left" w:pos="567"/>
          <w:tab w:val="left" w:pos="1134"/>
          <w:tab w:val="left" w:pos="1417"/>
        </w:tabs>
        <w:ind w:left="567" w:hanging="567"/>
        <w:rPr>
          <w:rFonts w:cs="Arial"/>
        </w:rPr>
      </w:pPr>
      <w:r>
        <w:rPr>
          <w:rFonts w:cs="Arial"/>
        </w:rPr>
        <w:t>3</w:t>
      </w:r>
      <w:r w:rsidR="00BF381F">
        <w:rPr>
          <w:rFonts w:cs="Arial"/>
        </w:rPr>
        <w:tab/>
      </w:r>
      <w:r w:rsidR="00C766C0">
        <w:rPr>
          <w:rFonts w:cs="Arial"/>
        </w:rPr>
        <w:t>A</w:t>
      </w:r>
      <w:r w:rsidR="00971CCF" w:rsidRPr="00971CCF">
        <w:rPr>
          <w:rFonts w:cs="Arial"/>
        </w:rPr>
        <w:t xml:space="preserve"> verifier’s checklist is acceptable if accompanied by evidence that includes examples from the candidate’s performance.</w:t>
      </w:r>
    </w:p>
    <w:p w14:paraId="2EC0B38F" w14:textId="77777777" w:rsidR="00971CCF" w:rsidRPr="00971CCF" w:rsidRDefault="00971CCF" w:rsidP="00971CCF">
      <w:pPr>
        <w:tabs>
          <w:tab w:val="left" w:pos="567"/>
          <w:tab w:val="left" w:pos="1134"/>
          <w:tab w:val="left" w:pos="1417"/>
        </w:tabs>
        <w:ind w:left="567" w:hanging="567"/>
        <w:rPr>
          <w:rFonts w:cs="Arial"/>
        </w:rPr>
      </w:pPr>
    </w:p>
    <w:p w14:paraId="2EC0B390" w14:textId="67BBC0BF" w:rsidR="00971CCF" w:rsidRPr="00971CCF" w:rsidRDefault="00794681" w:rsidP="00971CCF">
      <w:pPr>
        <w:tabs>
          <w:tab w:val="left" w:pos="567"/>
          <w:tab w:val="left" w:pos="1134"/>
          <w:tab w:val="left" w:pos="1417"/>
        </w:tabs>
        <w:ind w:left="567" w:hanging="567"/>
        <w:rPr>
          <w:rFonts w:cs="Arial"/>
        </w:rPr>
      </w:pPr>
      <w:r>
        <w:rPr>
          <w:rFonts w:cs="Arial"/>
        </w:rPr>
        <w:t>4</w:t>
      </w:r>
      <w:r w:rsidR="00971CCF" w:rsidRPr="00971CCF">
        <w:rPr>
          <w:rFonts w:cs="Arial"/>
          <w:i/>
        </w:rPr>
        <w:tab/>
      </w:r>
      <w:r w:rsidR="00971CCF" w:rsidRPr="00971CCF">
        <w:rPr>
          <w:rFonts w:cs="Arial"/>
        </w:rPr>
        <w:t>For</w:t>
      </w:r>
      <w:r w:rsidR="00971CCF" w:rsidRPr="00971CCF">
        <w:rPr>
          <w:rFonts w:cs="Arial"/>
          <w:i/>
        </w:rPr>
        <w:t xml:space="preserve"> </w:t>
      </w:r>
      <w:r w:rsidR="00971CCF" w:rsidRPr="00971CCF">
        <w:rPr>
          <w:rFonts w:cs="Arial"/>
        </w:rPr>
        <w:t>assessment against this standard,</w:t>
      </w:r>
      <w:r w:rsidR="00971CCF" w:rsidRPr="00971CCF">
        <w:rPr>
          <w:rFonts w:cs="Arial"/>
          <w:i/>
        </w:rPr>
        <w:t xml:space="preserve"> managing</w:t>
      </w:r>
      <w:r w:rsidR="00971CCF" w:rsidRPr="00971CCF">
        <w:rPr>
          <w:rFonts w:cs="Arial"/>
        </w:rPr>
        <w:t xml:space="preserve"> </w:t>
      </w:r>
      <w:r w:rsidR="00971CCF" w:rsidRPr="00971CCF">
        <w:rPr>
          <w:rFonts w:cs="Arial"/>
          <w:i/>
        </w:rPr>
        <w:t>a conflict</w:t>
      </w:r>
      <w:r w:rsidR="00971CCF" w:rsidRPr="00971CCF">
        <w:rPr>
          <w:rFonts w:cs="Arial"/>
        </w:rPr>
        <w:t xml:space="preserve"> does not necessarily include resolving the conflict. The candidate </w:t>
      </w:r>
      <w:r w:rsidR="00BF5F84">
        <w:rPr>
          <w:rFonts w:cs="Arial"/>
        </w:rPr>
        <w:t>must</w:t>
      </w:r>
      <w:r w:rsidR="00BF5F84" w:rsidRPr="00971CCF">
        <w:rPr>
          <w:rFonts w:cs="Arial"/>
        </w:rPr>
        <w:t xml:space="preserve"> </w:t>
      </w:r>
      <w:r w:rsidR="00971CCF" w:rsidRPr="00971CCF">
        <w:rPr>
          <w:rFonts w:cs="Arial"/>
        </w:rPr>
        <w:t xml:space="preserve">not be involved in the conflict and </w:t>
      </w:r>
      <w:r w:rsidR="00BF5F84">
        <w:rPr>
          <w:rFonts w:cs="Arial"/>
        </w:rPr>
        <w:t>must</w:t>
      </w:r>
      <w:r w:rsidR="00BF5F84" w:rsidRPr="00971CCF">
        <w:rPr>
          <w:rFonts w:cs="Arial"/>
        </w:rPr>
        <w:t xml:space="preserve"> </w:t>
      </w:r>
      <w:r w:rsidR="00971CCF" w:rsidRPr="00971CCF">
        <w:rPr>
          <w:rFonts w:cs="Arial"/>
        </w:rPr>
        <w:t>instead be managing conflict involving other people.  The confidentiality and privacy of all of the people involved in the conflict must be respected at all times.  Voice modulation for hearing impaired people may be demonstrated through a sign language interpreter voicing the message of the signer.</w:t>
      </w:r>
    </w:p>
    <w:p w14:paraId="2EC0B391" w14:textId="2ABDF6E2" w:rsidR="00A73F41" w:rsidRDefault="00A73F41">
      <w:pPr>
        <w:tabs>
          <w:tab w:val="left" w:pos="567"/>
        </w:tabs>
        <w:rPr>
          <w:rFonts w:cs="Arial"/>
        </w:rPr>
      </w:pPr>
    </w:p>
    <w:p w14:paraId="405A0445" w14:textId="1393F527" w:rsidR="00C766C0" w:rsidRDefault="00794681" w:rsidP="00C766C0">
      <w:pPr>
        <w:tabs>
          <w:tab w:val="left" w:pos="567"/>
          <w:tab w:val="left" w:pos="1134"/>
          <w:tab w:val="left" w:pos="1417"/>
        </w:tabs>
        <w:ind w:left="567" w:hanging="567"/>
        <w:rPr>
          <w:rFonts w:cs="Arial"/>
          <w:szCs w:val="24"/>
        </w:rPr>
      </w:pPr>
      <w:r>
        <w:rPr>
          <w:rFonts w:cs="Arial"/>
        </w:rPr>
        <w:t>5</w:t>
      </w:r>
      <w:r w:rsidR="00C766C0">
        <w:rPr>
          <w:rFonts w:cs="Arial"/>
        </w:rPr>
        <w:tab/>
        <w:t xml:space="preserve">All activities relevant to this standard will respect </w:t>
      </w:r>
      <w:r w:rsidR="00C766C0">
        <w:rPr>
          <w:rFonts w:cs="Arial"/>
          <w:szCs w:val="24"/>
        </w:rPr>
        <w:t>ngā kaupapa o te Tiriti o Waitangi (the principles of the Treaty of Waitangi).</w:t>
      </w:r>
    </w:p>
    <w:p w14:paraId="5862970B" w14:textId="77777777" w:rsidR="00C766C0" w:rsidRDefault="00C766C0" w:rsidP="00C766C0">
      <w:pPr>
        <w:tabs>
          <w:tab w:val="left" w:pos="567"/>
          <w:tab w:val="left" w:pos="1134"/>
          <w:tab w:val="left" w:pos="1417"/>
        </w:tabs>
        <w:ind w:left="567" w:hanging="567"/>
        <w:rPr>
          <w:rFonts w:cs="Arial"/>
          <w:szCs w:val="24"/>
        </w:rPr>
      </w:pPr>
    </w:p>
    <w:p w14:paraId="594961E1" w14:textId="1B19DEE1" w:rsidR="00C766C0" w:rsidRDefault="00794681" w:rsidP="00C766C0">
      <w:pPr>
        <w:tabs>
          <w:tab w:val="left" w:pos="567"/>
          <w:tab w:val="left" w:pos="1134"/>
          <w:tab w:val="left" w:pos="1417"/>
        </w:tabs>
        <w:ind w:left="567" w:hanging="567"/>
        <w:rPr>
          <w:rFonts w:cs="Arial"/>
          <w:szCs w:val="24"/>
        </w:rPr>
      </w:pPr>
      <w:r>
        <w:rPr>
          <w:rFonts w:cs="Arial"/>
          <w:szCs w:val="24"/>
        </w:rPr>
        <w:t>6</w:t>
      </w:r>
      <w:r w:rsidR="00C766C0">
        <w:rPr>
          <w:rFonts w:cs="Arial"/>
          <w:szCs w:val="24"/>
        </w:rPr>
        <w:tab/>
      </w:r>
      <w:r w:rsidR="001326EC">
        <w:rPr>
          <w:rFonts w:cs="Arial"/>
          <w:szCs w:val="24"/>
        </w:rPr>
        <w:t>All activities will, as relevant to candidates and/or this standard, reflect the</w:t>
      </w:r>
      <w:r w:rsidR="001326EC">
        <w:rPr>
          <w:rStyle w:val="public-draftstyledefault-block"/>
          <w:rFonts w:ascii="Helvetica" w:hAnsi="Helvetica" w:cs="Helvetica"/>
          <w:color w:val="333333"/>
          <w:szCs w:val="24"/>
          <w:bdr w:val="none" w:sz="0" w:space="0" w:color="auto" w:frame="1"/>
        </w:rPr>
        <w:t xml:space="preserve"> peoples of the Pacific and other cultures, and their world views.</w:t>
      </w:r>
    </w:p>
    <w:p w14:paraId="54B50A53" w14:textId="77777777" w:rsidR="00C766C0" w:rsidRDefault="00C766C0">
      <w:pPr>
        <w:tabs>
          <w:tab w:val="left" w:pos="567"/>
        </w:tabs>
        <w:rPr>
          <w:rFonts w:cs="Arial"/>
        </w:rPr>
      </w:pPr>
    </w:p>
    <w:p w14:paraId="2EC0B392" w14:textId="766BC806" w:rsidR="00A73F41" w:rsidRPr="000E5B4E" w:rsidRDefault="00A73F41">
      <w:pPr>
        <w:pBdr>
          <w:top w:val="single" w:sz="4" w:space="1" w:color="auto"/>
        </w:pBdr>
        <w:tabs>
          <w:tab w:val="left" w:pos="567"/>
        </w:tabs>
        <w:rPr>
          <w:rFonts w:cs="Arial"/>
          <w:b/>
          <w:bCs/>
          <w:sz w:val="28"/>
        </w:rPr>
      </w:pPr>
      <w:r>
        <w:rPr>
          <w:b/>
          <w:bCs/>
          <w:sz w:val="28"/>
        </w:rPr>
        <w:t>Ou</w:t>
      </w:r>
      <w:r w:rsidR="00BD7532">
        <w:rPr>
          <w:b/>
          <w:bCs/>
          <w:sz w:val="28"/>
        </w:rPr>
        <w:t xml:space="preserve">tcomes and performance </w:t>
      </w:r>
      <w:r w:rsidR="002679DA">
        <w:rPr>
          <w:b/>
          <w:bCs/>
          <w:sz w:val="28"/>
        </w:rPr>
        <w:t>criteri</w:t>
      </w:r>
      <w:r w:rsidR="002679DA" w:rsidRPr="00971CCF">
        <w:rPr>
          <w:rFonts w:cs="Arial"/>
          <w:b/>
          <w:bCs/>
          <w:sz w:val="28"/>
        </w:rPr>
        <w:t>a</w:t>
      </w:r>
    </w:p>
    <w:p w14:paraId="2EC0B393" w14:textId="77777777" w:rsidR="00971CCF" w:rsidRPr="00971CCF" w:rsidRDefault="00971CCF">
      <w:pPr>
        <w:tabs>
          <w:tab w:val="left" w:pos="567"/>
        </w:tabs>
        <w:rPr>
          <w:rFonts w:cs="Arial"/>
        </w:rPr>
      </w:pPr>
    </w:p>
    <w:p w14:paraId="2EC0B394" w14:textId="77777777" w:rsidR="00971CCF" w:rsidRPr="00971CCF" w:rsidRDefault="00971CCF" w:rsidP="00971CCF">
      <w:pPr>
        <w:keepNext/>
        <w:keepLines/>
        <w:rPr>
          <w:rFonts w:cs="Arial"/>
          <w:b/>
        </w:rPr>
      </w:pPr>
      <w:r w:rsidRPr="00971CCF">
        <w:rPr>
          <w:rFonts w:cs="Arial"/>
          <w:b/>
        </w:rPr>
        <w:t>Outcome 1</w:t>
      </w:r>
    </w:p>
    <w:p w14:paraId="2EC0B395" w14:textId="77777777" w:rsidR="00971CCF" w:rsidRPr="00971CCF" w:rsidRDefault="00971CCF" w:rsidP="00971CCF">
      <w:pPr>
        <w:keepNext/>
        <w:keepLines/>
        <w:rPr>
          <w:rFonts w:cs="Arial"/>
        </w:rPr>
      </w:pPr>
    </w:p>
    <w:p w14:paraId="2EC0B396" w14:textId="77777777" w:rsidR="00971CCF" w:rsidRPr="00971CCF" w:rsidRDefault="00971CCF" w:rsidP="00971CCF">
      <w:pPr>
        <w:keepNext/>
        <w:keepLines/>
        <w:rPr>
          <w:rFonts w:cs="Arial"/>
        </w:rPr>
      </w:pPr>
      <w:r w:rsidRPr="00971CCF">
        <w:rPr>
          <w:rFonts w:cs="Arial"/>
        </w:rPr>
        <w:t>Identify and explain the issues of an interpersonal conflict.</w:t>
      </w:r>
    </w:p>
    <w:p w14:paraId="2EC0B397" w14:textId="77777777" w:rsidR="00971CCF" w:rsidRPr="00971CCF" w:rsidRDefault="00971CCF" w:rsidP="00971CCF">
      <w:pPr>
        <w:keepNext/>
        <w:keepLines/>
        <w:rPr>
          <w:rFonts w:cs="Arial"/>
        </w:rPr>
      </w:pPr>
    </w:p>
    <w:p w14:paraId="2EC0B398" w14:textId="77777777" w:rsidR="00971CCF" w:rsidRPr="00971CCF" w:rsidRDefault="00971CCF" w:rsidP="00971CCF">
      <w:pPr>
        <w:keepNext/>
        <w:keepLines/>
        <w:tabs>
          <w:tab w:val="left" w:pos="1134"/>
        </w:tabs>
        <w:ind w:left="1134" w:hanging="1134"/>
        <w:rPr>
          <w:rFonts w:cs="Arial"/>
        </w:rPr>
      </w:pPr>
      <w:r w:rsidRPr="00971CCF">
        <w:rPr>
          <w:rFonts w:cs="Arial"/>
        </w:rPr>
        <w:t>Range</w:t>
      </w:r>
      <w:r w:rsidRPr="00971CCF">
        <w:rPr>
          <w:rFonts w:cs="Arial"/>
        </w:rPr>
        <w:tab/>
        <w:t>interpersonal conflict may include but is not limited to – differences of opinion, personal animosity, expression of sexism or racism, inappropriate modulation and use of language, non-compliance with organisational or group/team norms and/or values.</w:t>
      </w:r>
    </w:p>
    <w:p w14:paraId="2EC0B39A" w14:textId="77777777" w:rsidR="00971CCF" w:rsidRPr="00971CCF" w:rsidRDefault="00971CCF" w:rsidP="00971CCF">
      <w:pPr>
        <w:ind w:left="1440" w:hanging="1440"/>
        <w:rPr>
          <w:rFonts w:cs="Arial"/>
        </w:rPr>
      </w:pPr>
    </w:p>
    <w:p w14:paraId="2EC0B39B" w14:textId="77777777" w:rsidR="00971CCF" w:rsidRPr="00971CCF" w:rsidRDefault="00971CCF" w:rsidP="00971CCF">
      <w:pPr>
        <w:rPr>
          <w:rFonts w:cs="Arial"/>
          <w:b/>
        </w:rPr>
      </w:pPr>
      <w:r w:rsidRPr="00971CCF">
        <w:rPr>
          <w:rFonts w:cs="Arial"/>
          <w:b/>
        </w:rPr>
        <w:t>Performance criteria</w:t>
      </w:r>
    </w:p>
    <w:p w14:paraId="2EC0B39C" w14:textId="77777777" w:rsidR="00971CCF" w:rsidRPr="00971CCF" w:rsidRDefault="00971CCF" w:rsidP="00971CCF">
      <w:pPr>
        <w:rPr>
          <w:rFonts w:cs="Arial"/>
        </w:rPr>
      </w:pPr>
    </w:p>
    <w:p w14:paraId="2EC0B39D" w14:textId="77777777" w:rsidR="00971CCF" w:rsidRPr="00971CCF" w:rsidRDefault="00971CCF" w:rsidP="00971CCF">
      <w:pPr>
        <w:ind w:left="1134" w:hanging="1134"/>
        <w:rPr>
          <w:rFonts w:cs="Arial"/>
        </w:rPr>
      </w:pPr>
      <w:r w:rsidRPr="00971CCF">
        <w:rPr>
          <w:rFonts w:cs="Arial"/>
        </w:rPr>
        <w:t>1.1</w:t>
      </w:r>
      <w:r w:rsidRPr="00971CCF">
        <w:rPr>
          <w:rFonts w:cs="Arial"/>
        </w:rPr>
        <w:tab/>
        <w:t>Issues are explained in terms of how they contributed to the interpersonal conflict.</w:t>
      </w:r>
    </w:p>
    <w:p w14:paraId="2EC0B39E" w14:textId="77777777" w:rsidR="00971CCF" w:rsidRPr="00971CCF" w:rsidRDefault="00971CCF" w:rsidP="00971CCF">
      <w:pPr>
        <w:ind w:left="1134" w:hanging="1134"/>
        <w:rPr>
          <w:rFonts w:cs="Arial"/>
        </w:rPr>
      </w:pPr>
    </w:p>
    <w:p w14:paraId="2EC0B39F" w14:textId="77777777" w:rsidR="00971CCF" w:rsidRPr="00971CCF" w:rsidRDefault="00971CCF" w:rsidP="00971CCF">
      <w:pPr>
        <w:ind w:left="2552" w:hanging="1418"/>
        <w:rPr>
          <w:rFonts w:cs="Arial"/>
        </w:rPr>
      </w:pPr>
      <w:r w:rsidRPr="00971CCF">
        <w:rPr>
          <w:rFonts w:cs="Arial"/>
        </w:rPr>
        <w:t>Range</w:t>
      </w:r>
      <w:r w:rsidRPr="00971CCF">
        <w:rPr>
          <w:rFonts w:cs="Arial"/>
        </w:rPr>
        <w:tab/>
        <w:t>evidence of three issues is required.</w:t>
      </w:r>
    </w:p>
    <w:p w14:paraId="2EC0B3A0" w14:textId="77777777" w:rsidR="00971CCF" w:rsidRPr="00971CCF" w:rsidRDefault="00971CCF" w:rsidP="00971CCF">
      <w:pPr>
        <w:rPr>
          <w:rFonts w:cs="Arial"/>
        </w:rPr>
      </w:pPr>
    </w:p>
    <w:p w14:paraId="2EC0B3A1" w14:textId="77777777" w:rsidR="00971CCF" w:rsidRPr="00971CCF" w:rsidRDefault="00971CCF" w:rsidP="00971CCF">
      <w:pPr>
        <w:ind w:left="1134" w:hanging="1134"/>
        <w:rPr>
          <w:rFonts w:cs="Arial"/>
        </w:rPr>
      </w:pPr>
      <w:r w:rsidRPr="00971CCF">
        <w:rPr>
          <w:rFonts w:cs="Arial"/>
        </w:rPr>
        <w:t>1.2</w:t>
      </w:r>
      <w:r w:rsidRPr="00971CCF">
        <w:rPr>
          <w:rFonts w:cs="Arial"/>
        </w:rPr>
        <w:tab/>
        <w:t>Views of opposing parties are identified and explained in terms of how they contributed to the interpersonal conflict.</w:t>
      </w:r>
    </w:p>
    <w:p w14:paraId="05258D4A" w14:textId="77777777" w:rsidR="007721EF" w:rsidRDefault="007721EF" w:rsidP="00971CCF">
      <w:pPr>
        <w:rPr>
          <w:rFonts w:cs="Arial"/>
          <w:b/>
        </w:rPr>
      </w:pPr>
    </w:p>
    <w:p w14:paraId="2EC0B3A2" w14:textId="123E8FF6" w:rsidR="00971CCF" w:rsidRPr="00971CCF" w:rsidRDefault="00971CCF" w:rsidP="00971CCF">
      <w:pPr>
        <w:rPr>
          <w:rFonts w:cs="Arial"/>
          <w:b/>
        </w:rPr>
      </w:pPr>
      <w:r w:rsidRPr="00971CCF">
        <w:rPr>
          <w:rFonts w:cs="Arial"/>
          <w:b/>
        </w:rPr>
        <w:t>Outcome 2</w:t>
      </w:r>
    </w:p>
    <w:p w14:paraId="2EC0B3A3" w14:textId="77777777" w:rsidR="00971CCF" w:rsidRPr="00971CCF" w:rsidRDefault="00971CCF" w:rsidP="00971CCF">
      <w:pPr>
        <w:rPr>
          <w:rFonts w:cs="Arial"/>
        </w:rPr>
      </w:pPr>
    </w:p>
    <w:p w14:paraId="2EC0B3A4" w14:textId="28DE4AD6" w:rsidR="00971CCF" w:rsidRPr="00971CCF" w:rsidRDefault="00971CCF" w:rsidP="00971CCF">
      <w:pPr>
        <w:rPr>
          <w:rFonts w:cs="Arial"/>
        </w:rPr>
      </w:pPr>
      <w:r w:rsidRPr="00971CCF">
        <w:rPr>
          <w:rFonts w:cs="Arial"/>
        </w:rPr>
        <w:t>Develop</w:t>
      </w:r>
      <w:r w:rsidR="00BF5F84">
        <w:rPr>
          <w:rFonts w:cs="Arial"/>
        </w:rPr>
        <w:t xml:space="preserve">, </w:t>
      </w:r>
      <w:r w:rsidRPr="00971CCF">
        <w:rPr>
          <w:rFonts w:cs="Arial"/>
        </w:rPr>
        <w:t>implement</w:t>
      </w:r>
      <w:r w:rsidR="00BF5F84">
        <w:rPr>
          <w:rFonts w:cs="Arial"/>
        </w:rPr>
        <w:t>, and evaluate</w:t>
      </w:r>
      <w:r w:rsidRPr="00971CCF">
        <w:rPr>
          <w:rFonts w:cs="Arial"/>
        </w:rPr>
        <w:t xml:space="preserve"> a strategy to manage the interpersonal conflict.</w:t>
      </w:r>
    </w:p>
    <w:p w14:paraId="2EC0B3A5" w14:textId="77777777" w:rsidR="00971CCF" w:rsidRPr="00971CCF" w:rsidRDefault="00971CCF" w:rsidP="00971CCF">
      <w:pPr>
        <w:rPr>
          <w:rFonts w:cs="Arial"/>
        </w:rPr>
      </w:pPr>
    </w:p>
    <w:p w14:paraId="2EC0B3A6" w14:textId="77777777" w:rsidR="00971CCF" w:rsidRPr="00971CCF" w:rsidRDefault="00971CCF" w:rsidP="00971CCF">
      <w:pPr>
        <w:ind w:left="1134" w:hanging="1134"/>
        <w:rPr>
          <w:rFonts w:cs="Arial"/>
        </w:rPr>
      </w:pPr>
      <w:r w:rsidRPr="00971CCF">
        <w:rPr>
          <w:rFonts w:cs="Arial"/>
        </w:rPr>
        <w:t xml:space="preserve">Range </w:t>
      </w:r>
      <w:r w:rsidRPr="00971CCF">
        <w:rPr>
          <w:rFonts w:cs="Arial"/>
        </w:rPr>
        <w:tab/>
        <w:t>strategies to manage an interpersonal conflict may include but are not limited to - consultation, negotiation, mediation, facilitation.</w:t>
      </w:r>
    </w:p>
    <w:p w14:paraId="2EC0B3A7" w14:textId="77777777" w:rsidR="00971CCF" w:rsidRPr="00971CCF" w:rsidRDefault="00971CCF" w:rsidP="00971CCF">
      <w:pPr>
        <w:rPr>
          <w:rFonts w:cs="Arial"/>
        </w:rPr>
      </w:pPr>
    </w:p>
    <w:p w14:paraId="2EC0B3A8" w14:textId="77777777" w:rsidR="00971CCF" w:rsidRPr="00971CCF" w:rsidRDefault="00971CCF" w:rsidP="00971CCF">
      <w:pPr>
        <w:rPr>
          <w:rFonts w:cs="Arial"/>
        </w:rPr>
      </w:pPr>
    </w:p>
    <w:p w14:paraId="2EC0B3A9" w14:textId="77777777" w:rsidR="00971CCF" w:rsidRPr="00971CCF" w:rsidRDefault="00971CCF" w:rsidP="00971CCF">
      <w:pPr>
        <w:rPr>
          <w:rFonts w:cs="Arial"/>
          <w:b/>
        </w:rPr>
      </w:pPr>
      <w:r w:rsidRPr="00971CCF">
        <w:rPr>
          <w:rFonts w:cs="Arial"/>
          <w:b/>
        </w:rPr>
        <w:t>Performance criteria</w:t>
      </w:r>
    </w:p>
    <w:p w14:paraId="2EC0B3AA" w14:textId="77777777" w:rsidR="00971CCF" w:rsidRPr="00971CCF" w:rsidRDefault="00971CCF" w:rsidP="00971CCF">
      <w:pPr>
        <w:rPr>
          <w:rFonts w:cs="Arial"/>
        </w:rPr>
      </w:pPr>
    </w:p>
    <w:p w14:paraId="2EC0B3AB" w14:textId="77777777" w:rsidR="00971CCF" w:rsidRPr="00971CCF" w:rsidRDefault="00971CCF" w:rsidP="00971CCF">
      <w:pPr>
        <w:ind w:left="1134" w:hanging="1134"/>
        <w:rPr>
          <w:rFonts w:cs="Arial"/>
        </w:rPr>
      </w:pPr>
      <w:r w:rsidRPr="00971CCF">
        <w:rPr>
          <w:rFonts w:cs="Arial"/>
        </w:rPr>
        <w:t>2.1</w:t>
      </w:r>
      <w:r w:rsidRPr="00971CCF">
        <w:rPr>
          <w:rFonts w:cs="Arial"/>
        </w:rPr>
        <w:tab/>
        <w:t>A strategy is developed that takes into account the requirements of all parties.</w:t>
      </w:r>
    </w:p>
    <w:p w14:paraId="2EC0B3AC" w14:textId="77777777" w:rsidR="00971CCF" w:rsidRPr="00971CCF" w:rsidRDefault="00971CCF" w:rsidP="00971CCF">
      <w:pPr>
        <w:ind w:left="1134" w:hanging="1134"/>
        <w:rPr>
          <w:rFonts w:cs="Arial"/>
        </w:rPr>
      </w:pPr>
    </w:p>
    <w:p w14:paraId="2EC0B3AD" w14:textId="77777777" w:rsidR="00971CCF" w:rsidRPr="00971CCF" w:rsidRDefault="00971CCF" w:rsidP="00971CCF">
      <w:pPr>
        <w:tabs>
          <w:tab w:val="left" w:pos="-1938"/>
          <w:tab w:val="left" w:pos="2552"/>
        </w:tabs>
        <w:ind w:left="2552" w:hanging="1418"/>
        <w:rPr>
          <w:rFonts w:cs="Arial"/>
        </w:rPr>
      </w:pPr>
      <w:r w:rsidRPr="00971CCF">
        <w:rPr>
          <w:rFonts w:cs="Arial"/>
        </w:rPr>
        <w:t>Range</w:t>
      </w:r>
      <w:r w:rsidRPr="00971CCF">
        <w:rPr>
          <w:rFonts w:cs="Arial"/>
        </w:rPr>
        <w:tab/>
        <w:t>where a strategy involves activity beyond the expertise of the candidate, the candidate may refer to an expert for advice.</w:t>
      </w:r>
    </w:p>
    <w:p w14:paraId="2EC0B3AE" w14:textId="77777777" w:rsidR="00971CCF" w:rsidRPr="00971CCF" w:rsidRDefault="00971CCF" w:rsidP="00971CCF">
      <w:pPr>
        <w:rPr>
          <w:rFonts w:cs="Arial"/>
        </w:rPr>
      </w:pPr>
    </w:p>
    <w:p w14:paraId="2EC0B3AF" w14:textId="77777777" w:rsidR="00971CCF" w:rsidRPr="00971CCF" w:rsidRDefault="00971CCF" w:rsidP="00971CCF">
      <w:pPr>
        <w:ind w:left="1134" w:hanging="1134"/>
        <w:rPr>
          <w:rFonts w:cs="Arial"/>
        </w:rPr>
      </w:pPr>
      <w:r w:rsidRPr="00971CCF">
        <w:rPr>
          <w:rFonts w:cs="Arial"/>
        </w:rPr>
        <w:t>2.2</w:t>
      </w:r>
      <w:r w:rsidRPr="00971CCF">
        <w:rPr>
          <w:rFonts w:cs="Arial"/>
        </w:rPr>
        <w:tab/>
        <w:t>Strategy is realistic and achievable and takes into account the impact on others not involved in the conflict.</w:t>
      </w:r>
    </w:p>
    <w:p w14:paraId="2EC0B3B0" w14:textId="77777777" w:rsidR="00971CCF" w:rsidRPr="00971CCF" w:rsidRDefault="00971CCF" w:rsidP="00971CCF">
      <w:pPr>
        <w:ind w:left="1134" w:hanging="1134"/>
        <w:rPr>
          <w:rFonts w:cs="Arial"/>
        </w:rPr>
      </w:pPr>
    </w:p>
    <w:p w14:paraId="2EC0B3B1" w14:textId="77777777" w:rsidR="00971CCF" w:rsidRPr="00971CCF" w:rsidRDefault="00971CCF" w:rsidP="00971CCF">
      <w:pPr>
        <w:ind w:left="1134" w:hanging="1134"/>
        <w:rPr>
          <w:rFonts w:cs="Arial"/>
        </w:rPr>
      </w:pPr>
      <w:r w:rsidRPr="00971CCF">
        <w:rPr>
          <w:rFonts w:cs="Arial"/>
        </w:rPr>
        <w:t>2.3</w:t>
      </w:r>
      <w:r w:rsidRPr="00971CCF">
        <w:rPr>
          <w:rFonts w:cs="Arial"/>
        </w:rPr>
        <w:tab/>
        <w:t>Strategy is communicated to all parties and implemented in a way that promotes acceptance.</w:t>
      </w:r>
    </w:p>
    <w:p w14:paraId="2EC0B3B2" w14:textId="77777777" w:rsidR="00971CCF" w:rsidRPr="00971CCF" w:rsidRDefault="00971CCF" w:rsidP="00971CCF">
      <w:pPr>
        <w:ind w:left="1134" w:hanging="1134"/>
        <w:rPr>
          <w:rFonts w:cs="Arial"/>
        </w:rPr>
      </w:pPr>
    </w:p>
    <w:p w14:paraId="2EC0B3B3" w14:textId="77777777" w:rsidR="00971CCF" w:rsidRPr="00971CCF" w:rsidRDefault="00971CCF" w:rsidP="00971CCF">
      <w:pPr>
        <w:ind w:left="1134" w:hanging="1134"/>
        <w:rPr>
          <w:rFonts w:cs="Arial"/>
        </w:rPr>
      </w:pPr>
      <w:r w:rsidRPr="00971CCF">
        <w:rPr>
          <w:rFonts w:cs="Arial"/>
        </w:rPr>
        <w:t>2.4</w:t>
      </w:r>
      <w:r w:rsidRPr="00971CCF">
        <w:rPr>
          <w:rFonts w:cs="Arial"/>
        </w:rPr>
        <w:tab/>
        <w:t>Progress is monitored and changes made if required to facilitate resolving the conflict.</w:t>
      </w:r>
    </w:p>
    <w:p w14:paraId="2EC0B3BA" w14:textId="77777777" w:rsidR="00971CCF" w:rsidRPr="00971CCF" w:rsidRDefault="00971CCF" w:rsidP="00971CCF">
      <w:pPr>
        <w:widowControl w:val="0"/>
        <w:ind w:left="1134" w:hanging="1134"/>
        <w:rPr>
          <w:rFonts w:cs="Arial"/>
        </w:rPr>
      </w:pPr>
    </w:p>
    <w:p w14:paraId="2EC0B3BB" w14:textId="30AD10C4" w:rsidR="00971CCF" w:rsidRPr="00971CCF" w:rsidRDefault="00BF5F84" w:rsidP="00971CCF">
      <w:pPr>
        <w:widowControl w:val="0"/>
        <w:ind w:left="1134" w:hanging="1134"/>
        <w:rPr>
          <w:rFonts w:cs="Arial"/>
        </w:rPr>
      </w:pPr>
      <w:r>
        <w:rPr>
          <w:rFonts w:cs="Arial"/>
        </w:rPr>
        <w:t>2.5</w:t>
      </w:r>
      <w:r w:rsidR="00971CCF" w:rsidRPr="00971CCF">
        <w:rPr>
          <w:rFonts w:cs="Arial"/>
        </w:rPr>
        <w:tab/>
        <w:t>Strategy is evaluated in terms of what went well and opportunities for future improvement.</w:t>
      </w:r>
    </w:p>
    <w:p w14:paraId="2EC0B3BC" w14:textId="77777777" w:rsidR="00A73F41" w:rsidRDefault="00A73F41">
      <w:pPr>
        <w:tabs>
          <w:tab w:val="left" w:pos="1134"/>
          <w:tab w:val="left" w:pos="2552"/>
        </w:tabs>
        <w:ind w:left="1134" w:hanging="1134"/>
        <w:rPr>
          <w:rFonts w:cs="Arial"/>
        </w:rPr>
      </w:pPr>
    </w:p>
    <w:p w14:paraId="2EC0B3BD" w14:textId="77777777" w:rsidR="00A73F41" w:rsidRDefault="00A73F41">
      <w:pPr>
        <w:pStyle w:val="StyleLeft0cmHanging2cm"/>
        <w:keepNext/>
        <w:pBdr>
          <w:top w:val="single" w:sz="24" w:space="1" w:color="C0C0C0"/>
        </w:pBdr>
        <w:ind w:left="1134" w:hanging="1134"/>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A73F41" w14:paraId="2EC0B3C4" w14:textId="77777777" w:rsidTr="008F741A">
        <w:trPr>
          <w:cantSplit/>
        </w:trPr>
        <w:tc>
          <w:tcPr>
            <w:tcW w:w="3228" w:type="dxa"/>
            <w:shd w:val="clear" w:color="auto" w:fill="F3F3F3"/>
            <w:tcMar>
              <w:top w:w="170" w:type="dxa"/>
              <w:bottom w:w="170" w:type="dxa"/>
            </w:tcMar>
          </w:tcPr>
          <w:p w14:paraId="2EC0B3C2" w14:textId="77777777" w:rsidR="00A73F41" w:rsidRDefault="00A73F41">
            <w:pPr>
              <w:pStyle w:val="StyleBoldBefore6ptAfter6pt"/>
              <w:keepNext/>
              <w:spacing w:before="0" w:after="0"/>
            </w:pPr>
            <w:r>
              <w:t>Planned review date</w:t>
            </w:r>
          </w:p>
        </w:tc>
        <w:tc>
          <w:tcPr>
            <w:tcW w:w="6614" w:type="dxa"/>
            <w:tcMar>
              <w:top w:w="170" w:type="dxa"/>
              <w:bottom w:w="170" w:type="dxa"/>
            </w:tcMar>
            <w:vAlign w:val="center"/>
          </w:tcPr>
          <w:p w14:paraId="2EC0B3C3" w14:textId="4ECEA646" w:rsidR="00A73F41" w:rsidRDefault="00971CCF">
            <w:pPr>
              <w:pStyle w:val="StyleBefore6ptAfter6pt"/>
              <w:spacing w:before="0" w:after="0"/>
            </w:pPr>
            <w:r>
              <w:t>31 December 202</w:t>
            </w:r>
            <w:r w:rsidR="008F741A">
              <w:t>6</w:t>
            </w:r>
          </w:p>
        </w:tc>
      </w:tr>
    </w:tbl>
    <w:p w14:paraId="2EC0B3C5" w14:textId="77777777" w:rsidR="00A73F41" w:rsidRDefault="00A73F41"/>
    <w:p w14:paraId="2EC0B3C6" w14:textId="77777777" w:rsidR="00A73F41" w:rsidRDefault="00A73F41">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A73F41" w14:paraId="2EC0B3CB" w14:textId="77777777">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2EC0B3C7" w14:textId="77777777" w:rsidR="00A73F41" w:rsidRDefault="00A73F41">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2EC0B3C8" w14:textId="77777777" w:rsidR="00A73F41" w:rsidRDefault="00A73F41">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2EC0B3C9" w14:textId="77777777" w:rsidR="00A73F41" w:rsidRDefault="00A73F41">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2EC0B3CA" w14:textId="77777777" w:rsidR="00A73F41" w:rsidRDefault="00A73F41">
            <w:pPr>
              <w:autoSpaceDE w:val="0"/>
              <w:autoSpaceDN w:val="0"/>
              <w:adjustRightInd w:val="0"/>
              <w:rPr>
                <w:rStyle w:val="StyleBold"/>
              </w:rPr>
            </w:pPr>
            <w:r>
              <w:rPr>
                <w:rStyle w:val="StyleBold"/>
              </w:rPr>
              <w:t>Last Date for Assessment</w:t>
            </w:r>
          </w:p>
        </w:tc>
      </w:tr>
      <w:tr w:rsidR="00A73F41" w14:paraId="2EC0B3D0" w14:textId="77777777" w:rsidTr="00971CCF">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CC" w14:textId="77777777" w:rsidR="00A73F41" w:rsidRDefault="00971CCF">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CD" w14:textId="77777777" w:rsidR="00A73F41" w:rsidRDefault="00971CCF">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CE" w14:textId="77777777" w:rsidR="00A73F41" w:rsidRDefault="00971CCF">
            <w:pPr>
              <w:keepNext/>
              <w:rPr>
                <w:rFonts w:cs="Arial"/>
              </w:rPr>
            </w:pPr>
            <w:r>
              <w:rPr>
                <w:rFonts w:cs="Arial"/>
              </w:rPr>
              <w:t>28 February 1997</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CF" w14:textId="77777777" w:rsidR="00A73F41" w:rsidRDefault="00971CCF">
            <w:pPr>
              <w:keepNext/>
              <w:rPr>
                <w:rFonts w:cs="Arial"/>
              </w:rPr>
            </w:pPr>
            <w:r>
              <w:rPr>
                <w:rFonts w:cs="Arial"/>
              </w:rPr>
              <w:t>31 December 2012</w:t>
            </w:r>
          </w:p>
        </w:tc>
      </w:tr>
      <w:tr w:rsidR="00971CCF" w14:paraId="2EC0B3D5" w14:textId="77777777" w:rsidTr="00971CCF">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D1" w14:textId="77777777" w:rsidR="00971CCF" w:rsidRDefault="00971CCF">
            <w:pPr>
              <w:keepNext/>
              <w:rPr>
                <w:rFonts w:cs="Arial"/>
              </w:rPr>
            </w:pPr>
            <w:r>
              <w:rPr>
                <w:rFonts w:cs="Arial"/>
              </w:rPr>
              <w:t>Revision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D2" w14:textId="77777777" w:rsidR="00971CCF" w:rsidRDefault="00971CCF">
            <w:pPr>
              <w:keepNext/>
              <w:rPr>
                <w:rFonts w:cs="Arial"/>
              </w:rPr>
            </w:pPr>
            <w:r>
              <w:rPr>
                <w:rFonts w:cs="Arial"/>
              </w:rPr>
              <w:t>2</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D3" w14:textId="77777777" w:rsidR="00971CCF" w:rsidRDefault="00971CCF">
            <w:pPr>
              <w:keepNext/>
              <w:rPr>
                <w:rFonts w:cs="Arial"/>
              </w:rPr>
            </w:pPr>
            <w:r>
              <w:rPr>
                <w:rFonts w:cs="Arial"/>
              </w:rPr>
              <w:t>8 June 1999</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D4" w14:textId="77777777" w:rsidR="00971CCF" w:rsidRDefault="00971CCF">
            <w:pPr>
              <w:keepNext/>
              <w:rPr>
                <w:rFonts w:cs="Arial"/>
              </w:rPr>
            </w:pPr>
            <w:r>
              <w:rPr>
                <w:rFonts w:cs="Arial"/>
              </w:rPr>
              <w:t>31 December 2012</w:t>
            </w:r>
          </w:p>
        </w:tc>
      </w:tr>
      <w:tr w:rsidR="00971CCF" w14:paraId="2EC0B3DA" w14:textId="77777777" w:rsidTr="00971CCF">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D6" w14:textId="77777777" w:rsidR="00971CCF" w:rsidRDefault="00971CCF">
            <w:pPr>
              <w:keepNext/>
              <w:rPr>
                <w:rFonts w:cs="Arial"/>
              </w:rPr>
            </w:pPr>
            <w:r>
              <w:rPr>
                <w:rFonts w:cs="Arial"/>
              </w:rPr>
              <w:t>Revision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D7" w14:textId="77777777" w:rsidR="00971CCF" w:rsidRDefault="00971CCF">
            <w:pPr>
              <w:keepNext/>
              <w:rPr>
                <w:rFonts w:cs="Arial"/>
              </w:rPr>
            </w:pPr>
            <w:r>
              <w:rPr>
                <w:rFonts w:cs="Arial"/>
              </w:rPr>
              <w:t>3</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D8" w14:textId="77777777" w:rsidR="00971CCF" w:rsidRDefault="00971CCF">
            <w:pPr>
              <w:keepNext/>
              <w:rPr>
                <w:rFonts w:cs="Arial"/>
              </w:rPr>
            </w:pPr>
            <w:r>
              <w:rPr>
                <w:rFonts w:cs="Arial"/>
              </w:rPr>
              <w:t>22 January 2003</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D9" w14:textId="77777777" w:rsidR="00971CCF" w:rsidRDefault="00971CCF">
            <w:pPr>
              <w:keepNext/>
              <w:rPr>
                <w:rFonts w:cs="Arial"/>
              </w:rPr>
            </w:pPr>
            <w:r>
              <w:rPr>
                <w:rFonts w:cs="Arial"/>
              </w:rPr>
              <w:t>31 December 2012</w:t>
            </w:r>
          </w:p>
        </w:tc>
      </w:tr>
      <w:tr w:rsidR="00971CCF" w14:paraId="2EC0B3DF" w14:textId="77777777" w:rsidTr="00971CCF">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DB" w14:textId="77777777" w:rsidR="00971CCF" w:rsidRDefault="00971CCF">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DC" w14:textId="77777777" w:rsidR="00971CCF" w:rsidRDefault="00971CCF">
            <w:pPr>
              <w:keepNext/>
              <w:rPr>
                <w:rFonts w:cs="Arial"/>
              </w:rPr>
            </w:pPr>
            <w:r>
              <w:rPr>
                <w:rFonts w:cs="Arial"/>
              </w:rPr>
              <w:t>4</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DD" w14:textId="77777777" w:rsidR="00971CCF" w:rsidRDefault="00971CCF">
            <w:pPr>
              <w:keepNext/>
              <w:rPr>
                <w:rFonts w:cs="Arial"/>
              </w:rPr>
            </w:pPr>
            <w:r>
              <w:rPr>
                <w:rFonts w:cs="Arial"/>
              </w:rPr>
              <w:t>25 July 2006</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DE" w14:textId="77777777" w:rsidR="00971CCF" w:rsidRDefault="00971CCF">
            <w:pPr>
              <w:keepNext/>
              <w:rPr>
                <w:rFonts w:cs="Arial"/>
              </w:rPr>
            </w:pPr>
            <w:r>
              <w:rPr>
                <w:rFonts w:cs="Arial"/>
              </w:rPr>
              <w:t>31 December 2013</w:t>
            </w:r>
          </w:p>
        </w:tc>
      </w:tr>
      <w:tr w:rsidR="00971CCF" w14:paraId="2EC0B3E4" w14:textId="77777777" w:rsidTr="00971CCF">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E0" w14:textId="77777777" w:rsidR="00971CCF" w:rsidRDefault="00971CCF">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E1" w14:textId="77777777" w:rsidR="00971CCF" w:rsidRDefault="00971CCF">
            <w:pPr>
              <w:keepNext/>
              <w:rPr>
                <w:rFonts w:cs="Arial"/>
              </w:rPr>
            </w:pPr>
            <w:r>
              <w:rPr>
                <w:rFonts w:cs="Arial"/>
              </w:rPr>
              <w:t>5</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E2" w14:textId="77777777" w:rsidR="00971CCF" w:rsidRDefault="00971CCF">
            <w:pPr>
              <w:keepNext/>
              <w:rPr>
                <w:rFonts w:cs="Arial"/>
              </w:rPr>
            </w:pPr>
            <w:r>
              <w:rPr>
                <w:rFonts w:cs="Arial"/>
              </w:rPr>
              <w:t>17 November 2011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E3" w14:textId="77777777" w:rsidR="00971CCF" w:rsidRDefault="00971CCF">
            <w:pPr>
              <w:keepNext/>
              <w:rPr>
                <w:rFonts w:cs="Arial"/>
              </w:rPr>
            </w:pPr>
            <w:r>
              <w:rPr>
                <w:rFonts w:cs="Arial"/>
              </w:rPr>
              <w:t>31 May 2012</w:t>
            </w:r>
          </w:p>
        </w:tc>
      </w:tr>
      <w:tr w:rsidR="00971CCF" w14:paraId="2EC0B3E9" w14:textId="77777777" w:rsidTr="00971CCF">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E5" w14:textId="77777777" w:rsidR="00971CCF" w:rsidRDefault="00971CCF">
            <w:pPr>
              <w:keepNext/>
              <w:rPr>
                <w:rFonts w:cs="Arial"/>
              </w:rPr>
            </w:pPr>
            <w:r>
              <w:rPr>
                <w:rFonts w:cs="Arial"/>
              </w:rPr>
              <w:t>Revision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E6" w14:textId="77777777" w:rsidR="00971CCF" w:rsidRDefault="00971CCF">
            <w:pPr>
              <w:keepNext/>
              <w:rPr>
                <w:rFonts w:cs="Arial"/>
              </w:rPr>
            </w:pPr>
            <w:r>
              <w:rPr>
                <w:rFonts w:cs="Arial"/>
              </w:rPr>
              <w:t>6</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E7" w14:textId="77777777" w:rsidR="00971CCF" w:rsidRDefault="00971CCF">
            <w:pPr>
              <w:keepNext/>
              <w:rPr>
                <w:rFonts w:cs="Arial"/>
              </w:rPr>
            </w:pPr>
            <w:r>
              <w:rPr>
                <w:rFonts w:cs="Arial"/>
              </w:rPr>
              <w:t>17 May 2012</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E8" w14:textId="77777777" w:rsidR="00971CCF" w:rsidRDefault="00971CCF">
            <w:pPr>
              <w:keepNext/>
              <w:rPr>
                <w:rFonts w:cs="Arial"/>
              </w:rPr>
            </w:pPr>
            <w:r>
              <w:rPr>
                <w:rFonts w:cs="Arial"/>
              </w:rPr>
              <w:t>31 December 2017</w:t>
            </w:r>
          </w:p>
        </w:tc>
      </w:tr>
      <w:tr w:rsidR="00971CCF" w14:paraId="2EC0B3EE" w14:textId="77777777" w:rsidTr="00971CCF">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EA" w14:textId="77777777" w:rsidR="00971CCF" w:rsidRDefault="00971CCF">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EB" w14:textId="77777777" w:rsidR="00971CCF" w:rsidRDefault="00971CCF">
            <w:pPr>
              <w:keepNext/>
              <w:rPr>
                <w:rFonts w:cs="Arial"/>
              </w:rPr>
            </w:pPr>
            <w:r>
              <w:rPr>
                <w:rFonts w:cs="Arial"/>
              </w:rPr>
              <w:t>7</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EC" w14:textId="77777777" w:rsidR="00971CCF" w:rsidRDefault="00971CCF">
            <w:pPr>
              <w:keepNext/>
              <w:rPr>
                <w:rFonts w:cs="Arial"/>
              </w:rPr>
            </w:pPr>
            <w:r>
              <w:rPr>
                <w:rFonts w:cs="Arial"/>
              </w:rPr>
              <w:t>18 June 2015</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ED" w14:textId="77777777" w:rsidR="00971CCF" w:rsidRDefault="00971CCF">
            <w:pPr>
              <w:keepNext/>
              <w:rPr>
                <w:rFonts w:cs="Arial"/>
              </w:rPr>
            </w:pPr>
            <w:r>
              <w:rPr>
                <w:rFonts w:cs="Arial"/>
              </w:rPr>
              <w:t>31 December 2020</w:t>
            </w:r>
          </w:p>
        </w:tc>
      </w:tr>
      <w:tr w:rsidR="00971CCF" w14:paraId="2EC0B3F3" w14:textId="77777777" w:rsidTr="00971CCF">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EF" w14:textId="77777777" w:rsidR="00971CCF" w:rsidRDefault="00971CCF">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F0" w14:textId="77777777" w:rsidR="00971CCF" w:rsidRDefault="00971CCF">
            <w:pPr>
              <w:keepNext/>
              <w:rPr>
                <w:rFonts w:cs="Arial"/>
              </w:rPr>
            </w:pPr>
            <w:r>
              <w:rPr>
                <w:rFonts w:cs="Arial"/>
              </w:rPr>
              <w:t>8</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F1" w14:textId="77777777" w:rsidR="00971CCF" w:rsidRDefault="00971CCF">
            <w:pPr>
              <w:keepNext/>
              <w:rPr>
                <w:rFonts w:cs="Arial"/>
              </w:rPr>
            </w:pPr>
            <w:r>
              <w:rPr>
                <w:rFonts w:cs="Arial"/>
              </w:rPr>
              <w:t>16 February 2017</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EC0B3F2" w14:textId="77777777" w:rsidR="00971CCF" w:rsidRDefault="00971CCF">
            <w:pPr>
              <w:keepNext/>
              <w:rPr>
                <w:rFonts w:cs="Arial"/>
              </w:rPr>
            </w:pPr>
            <w:r>
              <w:rPr>
                <w:rFonts w:cs="Arial"/>
              </w:rPr>
              <w:t>N/A</w:t>
            </w:r>
          </w:p>
        </w:tc>
      </w:tr>
      <w:tr w:rsidR="007721EF" w14:paraId="35CF4964" w14:textId="77777777" w:rsidTr="00971CCF">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60362D7" w14:textId="0EF389EF" w:rsidR="007721EF" w:rsidRDefault="007721EF">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AF3B888" w14:textId="2FFF5284" w:rsidR="007721EF" w:rsidRDefault="007721EF">
            <w:pPr>
              <w:keepNext/>
              <w:rPr>
                <w:rFonts w:cs="Arial"/>
              </w:rPr>
            </w:pPr>
            <w:r>
              <w:rPr>
                <w:rFonts w:cs="Arial"/>
              </w:rPr>
              <w:t>9</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2FB1EDC" w14:textId="30F515C0" w:rsidR="007721EF" w:rsidRDefault="007721EF">
            <w:pPr>
              <w:keepNext/>
              <w:rPr>
                <w:rFonts w:cs="Arial"/>
              </w:rPr>
            </w:pPr>
            <w:r>
              <w:rPr>
                <w:rFonts w:cs="Arial"/>
              </w:rPr>
              <w:t>XXXX 2021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6DBB584" w14:textId="44F43FA1" w:rsidR="007721EF" w:rsidRDefault="007721EF">
            <w:pPr>
              <w:keepNext/>
              <w:rPr>
                <w:rFonts w:cs="Arial"/>
              </w:rPr>
            </w:pPr>
            <w:r>
              <w:rPr>
                <w:rFonts w:cs="Arial"/>
              </w:rPr>
              <w:t>N/A</w:t>
            </w:r>
          </w:p>
        </w:tc>
      </w:tr>
    </w:tbl>
    <w:p w14:paraId="2EC0B3F4"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A73F41" w14:paraId="2EC0B3F7" w14:textId="77777777" w:rsidTr="00971CCF">
        <w:tc>
          <w:tcPr>
            <w:tcW w:w="7548" w:type="dxa"/>
            <w:shd w:val="clear" w:color="auto" w:fill="F3F3F3"/>
            <w:tcMar>
              <w:top w:w="60" w:type="dxa"/>
              <w:bottom w:w="60" w:type="dxa"/>
            </w:tcMar>
          </w:tcPr>
          <w:p w14:paraId="2EC0B3F5" w14:textId="77777777" w:rsidR="00A73F41" w:rsidRDefault="00A73F41">
            <w:pPr>
              <w:pStyle w:val="StyleBoldBefore6ptAfter6pt"/>
              <w:keepNext/>
              <w:keepLines/>
              <w:spacing w:before="0" w:after="0"/>
            </w:pPr>
            <w:r>
              <w:t>Consent and Moderation Requirements (CMR) reference</w:t>
            </w:r>
          </w:p>
        </w:tc>
        <w:tc>
          <w:tcPr>
            <w:tcW w:w="2294" w:type="dxa"/>
            <w:tcMar>
              <w:top w:w="60" w:type="dxa"/>
              <w:bottom w:w="60" w:type="dxa"/>
            </w:tcMar>
            <w:vAlign w:val="center"/>
          </w:tcPr>
          <w:p w14:paraId="2EC0B3F6" w14:textId="77777777" w:rsidR="00A73F41" w:rsidRDefault="00971CCF">
            <w:pPr>
              <w:pStyle w:val="StyleBefore6ptAfter6pt"/>
              <w:keepNext/>
              <w:keepLines/>
              <w:spacing w:before="0" w:after="0"/>
            </w:pPr>
            <w:r>
              <w:t>0113</w:t>
            </w:r>
          </w:p>
        </w:tc>
      </w:tr>
    </w:tbl>
    <w:p w14:paraId="2EC0B3F8" w14:textId="77777777" w:rsidR="00A73F41" w:rsidRDefault="00A73F41">
      <w:pPr>
        <w:keepNext/>
        <w:keepLines/>
        <w:rPr>
          <w:rFonts w:cs="Arial"/>
        </w:rPr>
      </w:pPr>
      <w:r>
        <w:rPr>
          <w:rFonts w:cs="Arial"/>
        </w:rPr>
        <w:t>This CMR can be accessed at</w:t>
      </w:r>
      <w:r w:rsidR="00E60CCA">
        <w:rPr>
          <w:rFonts w:cs="Arial"/>
        </w:rPr>
        <w:t xml:space="preserve"> </w:t>
      </w:r>
      <w:hyperlink r:id="rId7" w:history="1">
        <w:r>
          <w:rPr>
            <w:rStyle w:val="Hyperlink"/>
          </w:rPr>
          <w:t>http://www.nzqa.govt.nz/framework/search/index.do</w:t>
        </w:r>
      </w:hyperlink>
      <w:r>
        <w:rPr>
          <w:rFonts w:cs="Arial"/>
        </w:rPr>
        <w:t>.</w:t>
      </w:r>
    </w:p>
    <w:p w14:paraId="2EC0B3F9" w14:textId="77777777" w:rsidR="00A73F41" w:rsidRDefault="00A73F41"/>
    <w:p w14:paraId="2EC0B3FA" w14:textId="77777777" w:rsidR="00A73F41" w:rsidRDefault="00A73F41">
      <w:pPr>
        <w:keepNext/>
        <w:keepLines/>
        <w:pBdr>
          <w:top w:val="single" w:sz="4" w:space="1" w:color="auto"/>
        </w:pBdr>
        <w:rPr>
          <w:b/>
          <w:bCs/>
        </w:rPr>
      </w:pPr>
      <w:r>
        <w:rPr>
          <w:b/>
          <w:bCs/>
        </w:rPr>
        <w:t>Comments on this unit standard</w:t>
      </w:r>
    </w:p>
    <w:p w14:paraId="2EC0B3FB" w14:textId="77777777" w:rsidR="00A73F41" w:rsidRDefault="00A73F41">
      <w:pPr>
        <w:keepNext/>
        <w:keepLines/>
      </w:pPr>
    </w:p>
    <w:p w14:paraId="1BD53CF2" w14:textId="77777777" w:rsidR="00245C35" w:rsidRDefault="00245C35" w:rsidP="00245C35">
      <w:pPr>
        <w:keepNext/>
        <w:keepLines/>
      </w:pPr>
      <w:r w:rsidRPr="00D0265A">
        <w:rPr>
          <w:rFonts w:cs="Arial"/>
        </w:rPr>
        <w:t xml:space="preserve">Please contact NZQA National Qualifications Services </w:t>
      </w:r>
      <w:hyperlink r:id="rId8" w:history="1">
        <w:r w:rsidRPr="00D0265A">
          <w:rPr>
            <w:rStyle w:val="Hyperlink"/>
            <w:rFonts w:cs="Arial"/>
          </w:rPr>
          <w:t>nqs@nzqa.govt.nz</w:t>
        </w:r>
      </w:hyperlink>
      <w:r w:rsidRPr="00D0265A">
        <w:rPr>
          <w:rFonts w:cs="Arial"/>
        </w:rPr>
        <w:t xml:space="preserve"> if you wish to suggest changes to the content of this unit standard.</w:t>
      </w:r>
    </w:p>
    <w:p w14:paraId="2EC0B3FC" w14:textId="25FDFCBA" w:rsidR="00A73F41" w:rsidRDefault="00A73F41" w:rsidP="00245C35">
      <w:pPr>
        <w:keepNext/>
        <w:keepLines/>
      </w:pPr>
    </w:p>
    <w:sectPr w:rsidR="00A73F41">
      <w:headerReference w:type="default" r:id="rId9"/>
      <w:footerReference w:type="default" r:id="rId10"/>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0B3FF" w14:textId="77777777" w:rsidR="00613C93" w:rsidRDefault="00613C93">
      <w:r>
        <w:separator/>
      </w:r>
    </w:p>
  </w:endnote>
  <w:endnote w:type="continuationSeparator" w:id="0">
    <w:p w14:paraId="2EC0B400" w14:textId="77777777" w:rsidR="00613C93" w:rsidRDefault="0061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2" w:space="0" w:color="auto"/>
      </w:tblBorders>
      <w:tblLook w:val="0000" w:firstRow="0" w:lastRow="0" w:firstColumn="0" w:lastColumn="0" w:noHBand="0" w:noVBand="0"/>
    </w:tblPr>
    <w:tblGrid>
      <w:gridCol w:w="4819"/>
      <w:gridCol w:w="4819"/>
    </w:tblGrid>
    <w:tr w:rsidR="00A73F41" w14:paraId="2EC0B40B" w14:textId="77777777">
      <w:trPr>
        <w:trHeight w:val="300"/>
      </w:trPr>
      <w:tc>
        <w:tcPr>
          <w:tcW w:w="4923" w:type="dxa"/>
          <w:tcBorders>
            <w:top w:val="single" w:sz="12" w:space="0" w:color="auto"/>
            <w:left w:val="nil"/>
            <w:bottom w:val="nil"/>
            <w:right w:val="nil"/>
          </w:tcBorders>
        </w:tcPr>
        <w:p w14:paraId="2EC0B408" w14:textId="77777777" w:rsidR="00A73F41" w:rsidRPr="00971CCF" w:rsidRDefault="00971CCF">
          <w:pPr>
            <w:rPr>
              <w:bCs/>
              <w:iCs/>
              <w:sz w:val="20"/>
            </w:rPr>
          </w:pPr>
          <w:r w:rsidRPr="00971CCF">
            <w:rPr>
              <w:bCs/>
              <w:iCs/>
              <w:sz w:val="20"/>
            </w:rPr>
            <w:t>NZQA National Qualifications Services</w:t>
          </w:r>
        </w:p>
        <w:p w14:paraId="2EC0B409" w14:textId="77777777" w:rsidR="00A73F41" w:rsidRPr="00971CCF" w:rsidRDefault="00A73F41">
          <w:pPr>
            <w:rPr>
              <w:bCs/>
              <w:sz w:val="20"/>
            </w:rPr>
          </w:pPr>
          <w:r w:rsidRPr="00971CCF">
            <w:rPr>
              <w:bCs/>
              <w:iCs/>
              <w:sz w:val="20"/>
            </w:rPr>
            <w:t xml:space="preserve">SSB Code </w:t>
          </w:r>
          <w:r w:rsidR="00971CCF" w:rsidRPr="00971CCF">
            <w:rPr>
              <w:bCs/>
              <w:iCs/>
              <w:sz w:val="20"/>
            </w:rPr>
            <w:t>130301</w:t>
          </w:r>
        </w:p>
      </w:tc>
      <w:tc>
        <w:tcPr>
          <w:tcW w:w="4924" w:type="dxa"/>
          <w:tcBorders>
            <w:top w:val="single" w:sz="12" w:space="0" w:color="auto"/>
            <w:left w:val="nil"/>
            <w:bottom w:val="nil"/>
            <w:right w:val="nil"/>
          </w:tcBorders>
        </w:tcPr>
        <w:p w14:paraId="2EC0B40A" w14:textId="1E6FED07" w:rsidR="00A73F41" w:rsidRDefault="00A73F41">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91145D">
            <w:rPr>
              <w:bCs/>
              <w:noProof/>
              <w:sz w:val="20"/>
            </w:rPr>
            <w:t>2021</w:t>
          </w:r>
          <w:r>
            <w:rPr>
              <w:bCs/>
              <w:sz w:val="20"/>
            </w:rPr>
            <w:fldChar w:fldCharType="end"/>
          </w:r>
        </w:p>
      </w:tc>
    </w:tr>
  </w:tbl>
  <w:p w14:paraId="2EC0B40C" w14:textId="77777777" w:rsidR="00A73F41" w:rsidRDefault="00A73F4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0B3FD" w14:textId="77777777" w:rsidR="00613C93" w:rsidRDefault="00613C93">
      <w:r>
        <w:separator/>
      </w:r>
    </w:p>
  </w:footnote>
  <w:footnote w:type="continuationSeparator" w:id="0">
    <w:p w14:paraId="2EC0B3FE" w14:textId="77777777" w:rsidR="00613C93" w:rsidRDefault="00613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822"/>
      <w:gridCol w:w="4816"/>
    </w:tblGrid>
    <w:tr w:rsidR="00A73F41" w14:paraId="2EC0B403" w14:textId="77777777" w:rsidTr="001F54BA">
      <w:tc>
        <w:tcPr>
          <w:tcW w:w="4927" w:type="dxa"/>
          <w:shd w:val="clear" w:color="auto" w:fill="auto"/>
        </w:tcPr>
        <w:p w14:paraId="2EC0B401" w14:textId="77777777" w:rsidR="00A73F41" w:rsidRDefault="00971CCF">
          <w:r>
            <w:t>NZQA proposed unit standard</w:t>
          </w:r>
        </w:p>
      </w:tc>
      <w:tc>
        <w:tcPr>
          <w:tcW w:w="4927" w:type="dxa"/>
          <w:shd w:val="clear" w:color="auto" w:fill="auto"/>
        </w:tcPr>
        <w:p w14:paraId="2EC0B402" w14:textId="7A68F2B6" w:rsidR="00A73F41" w:rsidRDefault="00971CCF" w:rsidP="001F54BA">
          <w:pPr>
            <w:jc w:val="right"/>
          </w:pPr>
          <w:r>
            <w:t xml:space="preserve">9704 version </w:t>
          </w:r>
          <w:r w:rsidR="00245C35">
            <w:t>9</w:t>
          </w:r>
        </w:p>
      </w:tc>
    </w:tr>
    <w:tr w:rsidR="00A73F41" w14:paraId="2EC0B406" w14:textId="77777777" w:rsidTr="001F54BA">
      <w:tc>
        <w:tcPr>
          <w:tcW w:w="4927" w:type="dxa"/>
          <w:shd w:val="clear" w:color="auto" w:fill="auto"/>
        </w:tcPr>
        <w:p w14:paraId="2EC0B404" w14:textId="77777777" w:rsidR="00A73F41" w:rsidRDefault="00A73F41"/>
      </w:tc>
      <w:tc>
        <w:tcPr>
          <w:tcW w:w="4927" w:type="dxa"/>
          <w:shd w:val="clear" w:color="auto" w:fill="auto"/>
        </w:tcPr>
        <w:p w14:paraId="2EC0B405" w14:textId="77777777" w:rsidR="00A73F41" w:rsidRDefault="00A73F41" w:rsidP="001F54BA">
          <w:pPr>
            <w:jc w:val="right"/>
          </w:pPr>
          <w:r>
            <w:t xml:space="preserve">Page </w:t>
          </w:r>
          <w:r>
            <w:fldChar w:fldCharType="begin"/>
          </w:r>
          <w:r>
            <w:instrText xml:space="preserve"> page </w:instrText>
          </w:r>
          <w:r>
            <w:fldChar w:fldCharType="separate"/>
          </w:r>
          <w:r w:rsidR="009149DD">
            <w:rPr>
              <w:noProof/>
            </w:rPr>
            <w:t>1</w:t>
          </w:r>
          <w:r>
            <w:fldChar w:fldCharType="end"/>
          </w:r>
          <w:r>
            <w:t xml:space="preserve"> of </w:t>
          </w:r>
          <w:r w:rsidR="00794681">
            <w:fldChar w:fldCharType="begin"/>
          </w:r>
          <w:r w:rsidR="00794681">
            <w:instrText xml:space="preserve"> numpages </w:instrText>
          </w:r>
          <w:r w:rsidR="00794681">
            <w:fldChar w:fldCharType="separate"/>
          </w:r>
          <w:r w:rsidR="009149DD">
            <w:rPr>
              <w:noProof/>
            </w:rPr>
            <w:t>2</w:t>
          </w:r>
          <w:r w:rsidR="00794681">
            <w:rPr>
              <w:noProof/>
            </w:rPr>
            <w:fldChar w:fldCharType="end"/>
          </w:r>
        </w:p>
      </w:tc>
    </w:tr>
  </w:tbl>
  <w:sdt>
    <w:sdtPr>
      <w:id w:val="67157353"/>
      <w:docPartObj>
        <w:docPartGallery w:val="Watermarks"/>
        <w:docPartUnique/>
      </w:docPartObj>
    </w:sdtPr>
    <w:sdtEndPr/>
    <w:sdtContent>
      <w:p w14:paraId="2EC0B407" w14:textId="5802E461" w:rsidR="00A73F41" w:rsidRDefault="0091145D">
        <w:pPr>
          <w:jc w:val="right"/>
        </w:pPr>
        <w:r>
          <w:rPr>
            <w:noProof/>
          </w:rPr>
          <w:pict w14:anchorId="63FDB8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multilevel"/>
    <w:tmpl w:val="3A902FF8"/>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4C6270"/>
    <w:multiLevelType w:val="multilevel"/>
    <w:tmpl w:val="A490B184"/>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1B5148"/>
    <w:multiLevelType w:val="multilevel"/>
    <w:tmpl w:val="4C92E16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0" w15:restartNumberingAfterBreak="0">
    <w:nsid w:val="388B5973"/>
    <w:multiLevelType w:val="multilevel"/>
    <w:tmpl w:val="467C5696"/>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955CF"/>
    <w:multiLevelType w:val="multilevel"/>
    <w:tmpl w:val="62BC477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CF1F11"/>
    <w:multiLevelType w:val="multilevel"/>
    <w:tmpl w:val="36F4A094"/>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83275D"/>
    <w:multiLevelType w:val="multilevel"/>
    <w:tmpl w:val="B2C6C544"/>
    <w:lvl w:ilvl="0">
      <w:start w:val="1"/>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14"/>
  </w:num>
  <w:num w:numId="5">
    <w:abstractNumId w:val="0"/>
  </w:num>
  <w:num w:numId="6">
    <w:abstractNumId w:val="20"/>
  </w:num>
  <w:num w:numId="7">
    <w:abstractNumId w:val="16"/>
  </w:num>
  <w:num w:numId="8">
    <w:abstractNumId w:val="2"/>
  </w:num>
  <w:num w:numId="9">
    <w:abstractNumId w:val="19"/>
  </w:num>
  <w:num w:numId="10">
    <w:abstractNumId w:val="15"/>
  </w:num>
  <w:num w:numId="11">
    <w:abstractNumId w:val="24"/>
  </w:num>
  <w:num w:numId="12">
    <w:abstractNumId w:val="13"/>
  </w:num>
  <w:num w:numId="13">
    <w:abstractNumId w:val="17"/>
  </w:num>
  <w:num w:numId="14">
    <w:abstractNumId w:val="22"/>
  </w:num>
  <w:num w:numId="15">
    <w:abstractNumId w:val="11"/>
  </w:num>
  <w:num w:numId="16">
    <w:abstractNumId w:val="25"/>
  </w:num>
  <w:num w:numId="17">
    <w:abstractNumId w:val="10"/>
  </w:num>
  <w:num w:numId="18">
    <w:abstractNumId w:val="27"/>
  </w:num>
  <w:num w:numId="19">
    <w:abstractNumId w:val="4"/>
  </w:num>
  <w:num w:numId="20">
    <w:abstractNumId w:val="1"/>
  </w:num>
  <w:num w:numId="21">
    <w:abstractNumId w:val="21"/>
  </w:num>
  <w:num w:numId="22">
    <w:abstractNumId w:val="12"/>
  </w:num>
  <w:num w:numId="23">
    <w:abstractNumId w:val="7"/>
  </w:num>
  <w:num w:numId="24">
    <w:abstractNumId w:val="9"/>
  </w:num>
  <w:num w:numId="25">
    <w:abstractNumId w:val="23"/>
  </w:num>
  <w:num w:numId="26">
    <w:abstractNumId w:val="26"/>
  </w:num>
  <w:num w:numId="27">
    <w:abstractNumId w:val="1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NZ"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93"/>
    <w:rsid w:val="000E5B4E"/>
    <w:rsid w:val="001326EC"/>
    <w:rsid w:val="00147F70"/>
    <w:rsid w:val="001C641D"/>
    <w:rsid w:val="001F54BA"/>
    <w:rsid w:val="00245C35"/>
    <w:rsid w:val="00250047"/>
    <w:rsid w:val="002679DA"/>
    <w:rsid w:val="002938F5"/>
    <w:rsid w:val="002F1EF6"/>
    <w:rsid w:val="003A28D4"/>
    <w:rsid w:val="003B10A8"/>
    <w:rsid w:val="00607301"/>
    <w:rsid w:val="00613C93"/>
    <w:rsid w:val="00645244"/>
    <w:rsid w:val="00684ECF"/>
    <w:rsid w:val="006E3E7E"/>
    <w:rsid w:val="00733373"/>
    <w:rsid w:val="007721EF"/>
    <w:rsid w:val="00794681"/>
    <w:rsid w:val="00881417"/>
    <w:rsid w:val="00884BFC"/>
    <w:rsid w:val="008E3D2D"/>
    <w:rsid w:val="008F741A"/>
    <w:rsid w:val="0091145D"/>
    <w:rsid w:val="009149DD"/>
    <w:rsid w:val="00941E06"/>
    <w:rsid w:val="0096567B"/>
    <w:rsid w:val="00971CCF"/>
    <w:rsid w:val="00A70C58"/>
    <w:rsid w:val="00A73F41"/>
    <w:rsid w:val="00AA3CAA"/>
    <w:rsid w:val="00AE271B"/>
    <w:rsid w:val="00B24008"/>
    <w:rsid w:val="00BD7532"/>
    <w:rsid w:val="00BF381F"/>
    <w:rsid w:val="00BF5F84"/>
    <w:rsid w:val="00BF6848"/>
    <w:rsid w:val="00C373DB"/>
    <w:rsid w:val="00C766C0"/>
    <w:rsid w:val="00CA1A23"/>
    <w:rsid w:val="00E60CCA"/>
    <w:rsid w:val="00E61432"/>
    <w:rsid w:val="00EC7DC2"/>
    <w:rsid w:val="00EE3E61"/>
    <w:rsid w:val="00F93E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2EC0B362"/>
  <w15:chartTrackingRefBased/>
  <w15:docId w15:val="{91AB9DCF-1622-44C9-A773-D3B2FD6E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E60CCA"/>
    <w:rPr>
      <w:rFonts w:ascii="Arial" w:hAnsi="Arial"/>
      <w:sz w:val="24"/>
      <w:lang w:eastAsia="en-US"/>
    </w:rPr>
  </w:style>
  <w:style w:type="character" w:customStyle="1" w:styleId="public-draftstyledefault-block">
    <w:name w:val="public-draftstyledefault-block"/>
    <w:basedOn w:val="DefaultParagraphFont"/>
    <w:rsid w:val="00C76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qs@nzqa.govt.nz" TargetMode="External"/><Relationship Id="rId3" Type="http://schemas.openxmlformats.org/officeDocument/2006/relationships/settings" Target="settings.xml"/><Relationship Id="rId7" Type="http://schemas.openxmlformats.org/officeDocument/2006/relationships/hyperlink" Target="http://www.nzqa.govt.nz/framework/search/index.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NZQA</Company>
  <LinksUpToDate>false</LinksUpToDate>
  <CharactersWithSpaces>4439</CharactersWithSpaces>
  <SharedDoc>false</SharedDoc>
  <HLinks>
    <vt:vector size="6" baseType="variant">
      <vt:variant>
        <vt:i4>1769491</vt:i4>
      </vt:variant>
      <vt:variant>
        <vt:i4>0</vt:i4>
      </vt:variant>
      <vt:variant>
        <vt:i4>0</vt:i4>
      </vt:variant>
      <vt:variant>
        <vt:i4>5</vt:i4>
      </vt:variant>
      <vt:variant>
        <vt:lpwstr>http://www.nzqa.govt.nz/framework/search/index.do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George Cochrane</dc:creator>
  <cp:keywords/>
  <cp:lastModifiedBy>Dawn McGrigor</cp:lastModifiedBy>
  <cp:revision>13</cp:revision>
  <cp:lastPrinted>2010-06-03T23:16:00Z</cp:lastPrinted>
  <dcterms:created xsi:type="dcterms:W3CDTF">2021-01-11T01:12:00Z</dcterms:created>
  <dcterms:modified xsi:type="dcterms:W3CDTF">2021-10-26T02:33:00Z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3</vt:i4>
  </property>
  <property fmtid="{D5CDD505-2E9C-101B-9397-08002B2CF9AE}" pid="4" name="_TemplateLanguage">
    <vt:lpwstr>English</vt:lpwstr>
  </property>
  <property fmtid="{D5CDD505-2E9C-101B-9397-08002B2CF9AE}" pid="5" name="_ReviewingToolsShownOnce">
    <vt:lpwstr/>
  </property>
</Properties>
</file>