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A73F41" w14:paraId="748BA3B9" w14:textId="77777777" w:rsidTr="00DB12F7">
        <w:tc>
          <w:tcPr>
            <w:tcW w:w="1731" w:type="dxa"/>
            <w:shd w:val="clear" w:color="auto" w:fill="F3F3F3"/>
            <w:tcMar>
              <w:top w:w="170" w:type="dxa"/>
              <w:bottom w:w="170" w:type="dxa"/>
            </w:tcMar>
          </w:tcPr>
          <w:p w14:paraId="748BA3B7" w14:textId="77777777" w:rsidR="00A73F41" w:rsidRDefault="00A73F41">
            <w:pPr>
              <w:pStyle w:val="StyleBoldBefore6ptAfter6pt"/>
              <w:spacing w:before="0" w:after="0"/>
            </w:pPr>
            <w:r>
              <w:t>Title</w:t>
            </w:r>
          </w:p>
        </w:tc>
        <w:tc>
          <w:tcPr>
            <w:tcW w:w="8097" w:type="dxa"/>
            <w:gridSpan w:val="3"/>
            <w:tcMar>
              <w:top w:w="170" w:type="dxa"/>
              <w:bottom w:w="170" w:type="dxa"/>
            </w:tcMar>
            <w:vAlign w:val="center"/>
          </w:tcPr>
          <w:p w14:paraId="748BA3B8" w14:textId="77777777" w:rsidR="00A73F41" w:rsidRDefault="00DB12F7">
            <w:pPr>
              <w:rPr>
                <w:b/>
              </w:rPr>
            </w:pPr>
            <w:r>
              <w:rPr>
                <w:b/>
              </w:rPr>
              <w:t>Write formal personal correspondence</w:t>
            </w:r>
          </w:p>
        </w:tc>
      </w:tr>
      <w:tr w:rsidR="00A73F41" w14:paraId="748BA3BE" w14:textId="77777777" w:rsidTr="00DB12F7">
        <w:tc>
          <w:tcPr>
            <w:tcW w:w="1731" w:type="dxa"/>
            <w:shd w:val="clear" w:color="auto" w:fill="F3F3F3"/>
            <w:tcMar>
              <w:top w:w="170" w:type="dxa"/>
              <w:bottom w:w="170" w:type="dxa"/>
            </w:tcMar>
          </w:tcPr>
          <w:p w14:paraId="748BA3BA" w14:textId="77777777" w:rsidR="00A73F41" w:rsidRDefault="00A73F41">
            <w:pPr>
              <w:pStyle w:val="StyleBoldBefore6ptAfter6pt"/>
              <w:spacing w:before="0" w:after="0"/>
            </w:pPr>
            <w:r>
              <w:t>Level</w:t>
            </w:r>
          </w:p>
        </w:tc>
        <w:tc>
          <w:tcPr>
            <w:tcW w:w="3177" w:type="dxa"/>
            <w:tcMar>
              <w:top w:w="170" w:type="dxa"/>
              <w:bottom w:w="170" w:type="dxa"/>
            </w:tcMar>
            <w:vAlign w:val="center"/>
          </w:tcPr>
          <w:p w14:paraId="748BA3BB" w14:textId="120CC9D5" w:rsidR="00A73F41" w:rsidRDefault="00A4369B">
            <w:pPr>
              <w:rPr>
                <w:b/>
              </w:rPr>
            </w:pPr>
            <w:r>
              <w:rPr>
                <w:b/>
              </w:rPr>
              <w:t>2</w:t>
            </w:r>
          </w:p>
        </w:tc>
        <w:tc>
          <w:tcPr>
            <w:tcW w:w="1729" w:type="dxa"/>
            <w:shd w:val="clear" w:color="auto" w:fill="F3F3F3"/>
            <w:tcMar>
              <w:top w:w="170" w:type="dxa"/>
              <w:bottom w:w="170" w:type="dxa"/>
            </w:tcMar>
          </w:tcPr>
          <w:p w14:paraId="748BA3BC" w14:textId="77777777" w:rsidR="00A73F41" w:rsidRDefault="00A73F41">
            <w:pPr>
              <w:rPr>
                <w:b/>
                <w:color w:val="000000"/>
              </w:rPr>
            </w:pPr>
            <w:r>
              <w:rPr>
                <w:b/>
              </w:rPr>
              <w:t>Credits</w:t>
            </w:r>
          </w:p>
        </w:tc>
        <w:tc>
          <w:tcPr>
            <w:tcW w:w="3575" w:type="dxa"/>
            <w:tcMar>
              <w:top w:w="170" w:type="dxa"/>
              <w:bottom w:w="170" w:type="dxa"/>
            </w:tcMar>
            <w:vAlign w:val="center"/>
          </w:tcPr>
          <w:p w14:paraId="748BA3BD" w14:textId="0FA79BD7" w:rsidR="00A73F41" w:rsidRDefault="00A4369B">
            <w:pPr>
              <w:rPr>
                <w:b/>
              </w:rPr>
            </w:pPr>
            <w:r>
              <w:rPr>
                <w:b/>
              </w:rPr>
              <w:t>2</w:t>
            </w:r>
          </w:p>
        </w:tc>
      </w:tr>
    </w:tbl>
    <w:p w14:paraId="748BA3BF"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748BA3C2" w14:textId="77777777" w:rsidTr="00DB12F7">
        <w:tc>
          <w:tcPr>
            <w:tcW w:w="2868" w:type="dxa"/>
            <w:shd w:val="clear" w:color="auto" w:fill="F3F3F3"/>
            <w:tcMar>
              <w:top w:w="170" w:type="dxa"/>
              <w:bottom w:w="170" w:type="dxa"/>
            </w:tcMar>
          </w:tcPr>
          <w:p w14:paraId="748BA3C0" w14:textId="77777777" w:rsidR="00A73F41" w:rsidRDefault="00A73F41">
            <w:pPr>
              <w:pStyle w:val="StyleBoldBefore6ptAfter6pt"/>
              <w:spacing w:before="0" w:after="0"/>
            </w:pPr>
            <w:r>
              <w:rPr>
                <w:bCs w:val="0"/>
              </w:rPr>
              <w:t>Purpose</w:t>
            </w:r>
          </w:p>
        </w:tc>
        <w:tc>
          <w:tcPr>
            <w:tcW w:w="6974" w:type="dxa"/>
            <w:tcMar>
              <w:top w:w="170" w:type="dxa"/>
              <w:bottom w:w="170" w:type="dxa"/>
            </w:tcMar>
            <w:vAlign w:val="center"/>
          </w:tcPr>
          <w:p w14:paraId="748BA3C1" w14:textId="77777777" w:rsidR="00A73F41" w:rsidRDefault="00DB12F7">
            <w:r>
              <w:t>People credited with this unit standard are able to write formal personal correspondence.</w:t>
            </w:r>
          </w:p>
        </w:tc>
      </w:tr>
    </w:tbl>
    <w:p w14:paraId="748BA3C3"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748BA3C6" w14:textId="77777777" w:rsidTr="00DB12F7">
        <w:tc>
          <w:tcPr>
            <w:tcW w:w="2868" w:type="dxa"/>
            <w:shd w:val="clear" w:color="auto" w:fill="F3F3F3"/>
            <w:tcMar>
              <w:top w:w="170" w:type="dxa"/>
              <w:bottom w:w="170" w:type="dxa"/>
            </w:tcMar>
          </w:tcPr>
          <w:p w14:paraId="748BA3C4" w14:textId="77777777" w:rsidR="00A73F41" w:rsidRDefault="00A73F41">
            <w:pPr>
              <w:pStyle w:val="StyleBoldBefore6ptAfter6pt"/>
              <w:spacing w:before="0" w:after="0"/>
              <w:rPr>
                <w:bCs w:val="0"/>
              </w:rPr>
            </w:pPr>
            <w:r>
              <w:rPr>
                <w:bCs w:val="0"/>
              </w:rPr>
              <w:t>Classification</w:t>
            </w:r>
          </w:p>
        </w:tc>
        <w:tc>
          <w:tcPr>
            <w:tcW w:w="6974" w:type="dxa"/>
            <w:tcMar>
              <w:top w:w="170" w:type="dxa"/>
              <w:bottom w:w="170" w:type="dxa"/>
            </w:tcMar>
            <w:vAlign w:val="center"/>
          </w:tcPr>
          <w:p w14:paraId="748BA3C5" w14:textId="77777777" w:rsidR="00A73F41" w:rsidRDefault="00DB12F7">
            <w:r>
              <w:t>Communication Skills &gt; Writing</w:t>
            </w:r>
          </w:p>
        </w:tc>
      </w:tr>
    </w:tbl>
    <w:p w14:paraId="748BA3C7"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A73F41" w14:paraId="748BA3CA" w14:textId="77777777">
        <w:tc>
          <w:tcPr>
            <w:tcW w:w="2868" w:type="dxa"/>
            <w:shd w:val="clear" w:color="auto" w:fill="F3F3F3"/>
            <w:tcMar>
              <w:top w:w="170" w:type="dxa"/>
              <w:bottom w:w="170" w:type="dxa"/>
            </w:tcMar>
          </w:tcPr>
          <w:p w14:paraId="748BA3C8" w14:textId="77777777" w:rsidR="00A73F41" w:rsidRDefault="00A73F41">
            <w:pPr>
              <w:pStyle w:val="StyleBoldBefore6ptAfter6pt"/>
              <w:spacing w:before="0" w:after="0"/>
              <w:rPr>
                <w:bCs w:val="0"/>
              </w:rPr>
            </w:pPr>
            <w:r>
              <w:rPr>
                <w:bCs w:val="0"/>
              </w:rPr>
              <w:t>Available grade</w:t>
            </w:r>
          </w:p>
        </w:tc>
        <w:tc>
          <w:tcPr>
            <w:tcW w:w="6974" w:type="dxa"/>
            <w:tcMar>
              <w:top w:w="170" w:type="dxa"/>
              <w:bottom w:w="170" w:type="dxa"/>
            </w:tcMar>
          </w:tcPr>
          <w:p w14:paraId="748BA3C9" w14:textId="14328734" w:rsidR="00A73F41" w:rsidRDefault="00D21840">
            <w:r>
              <w:t>Achieved</w:t>
            </w:r>
          </w:p>
        </w:tc>
      </w:tr>
    </w:tbl>
    <w:p w14:paraId="748BA3D7" w14:textId="77777777" w:rsidR="00A73F41" w:rsidRDefault="00A73F41">
      <w:pPr>
        <w:rPr>
          <w:rFonts w:cs="Arial"/>
        </w:rPr>
      </w:pPr>
    </w:p>
    <w:p w14:paraId="748BA3D8" w14:textId="77777777" w:rsidR="00A73F41" w:rsidRDefault="00EE3E61">
      <w:pPr>
        <w:pBdr>
          <w:top w:val="single" w:sz="4" w:space="1" w:color="auto"/>
        </w:pBdr>
        <w:tabs>
          <w:tab w:val="left" w:pos="567"/>
        </w:tabs>
        <w:rPr>
          <w:rFonts w:cs="Arial"/>
          <w:b/>
          <w:bCs/>
          <w:szCs w:val="24"/>
        </w:rPr>
      </w:pPr>
      <w:r>
        <w:rPr>
          <w:rFonts w:cs="Arial"/>
          <w:b/>
          <w:bCs/>
          <w:szCs w:val="24"/>
        </w:rPr>
        <w:t>Guidance Information</w:t>
      </w:r>
    </w:p>
    <w:p w14:paraId="748BA3D9" w14:textId="77777777" w:rsidR="00DB12F7" w:rsidRPr="00DB12F7" w:rsidRDefault="00DB12F7" w:rsidP="00DB12F7">
      <w:pPr>
        <w:tabs>
          <w:tab w:val="left" w:pos="567"/>
          <w:tab w:val="left" w:pos="1134"/>
          <w:tab w:val="left" w:pos="1417"/>
        </w:tabs>
        <w:ind w:left="567" w:hanging="567"/>
        <w:rPr>
          <w:rFonts w:cs="Arial"/>
          <w:b/>
        </w:rPr>
      </w:pPr>
    </w:p>
    <w:p w14:paraId="748BA3DA" w14:textId="77777777" w:rsidR="00DB12F7" w:rsidRPr="00DB12F7" w:rsidRDefault="00DB12F7" w:rsidP="00DB12F7">
      <w:pPr>
        <w:tabs>
          <w:tab w:val="left" w:pos="567"/>
          <w:tab w:val="left" w:pos="1134"/>
          <w:tab w:val="left" w:pos="1417"/>
        </w:tabs>
        <w:ind w:left="567" w:hanging="567"/>
        <w:rPr>
          <w:rFonts w:cs="Arial"/>
        </w:rPr>
      </w:pPr>
      <w:r w:rsidRPr="00DB12F7">
        <w:rPr>
          <w:rFonts w:cs="Arial"/>
        </w:rPr>
        <w:t>1</w:t>
      </w:r>
      <w:r w:rsidRPr="00DB12F7">
        <w:rPr>
          <w:rFonts w:cs="Arial"/>
        </w:rPr>
        <w:tab/>
        <w:t>Formal personal correspondence is written for personal purposes and not on behalf of an organisation.  It is usually written to organisations such as prospective employers, funding bodies, government agencies, insurance companies, businesses, service providers, landlords or rental agents, and education providers.  Examples include a cover letter for a job or training application, complaint (service or product), request for service, product, or information.</w:t>
      </w:r>
    </w:p>
    <w:p w14:paraId="748BA3DB" w14:textId="77777777" w:rsidR="00DB12F7" w:rsidRPr="00DB12F7" w:rsidRDefault="00DB12F7" w:rsidP="00DB12F7">
      <w:pPr>
        <w:tabs>
          <w:tab w:val="left" w:pos="567"/>
          <w:tab w:val="left" w:pos="1134"/>
          <w:tab w:val="left" w:pos="1417"/>
        </w:tabs>
        <w:ind w:left="567" w:hanging="567"/>
        <w:rPr>
          <w:rFonts w:cs="Arial"/>
        </w:rPr>
      </w:pPr>
    </w:p>
    <w:p w14:paraId="23713C41" w14:textId="55CD3C3B" w:rsidR="00922F09" w:rsidRDefault="00DB12F7" w:rsidP="00DB12F7">
      <w:pPr>
        <w:tabs>
          <w:tab w:val="left" w:pos="567"/>
          <w:tab w:val="left" w:pos="1134"/>
          <w:tab w:val="left" w:pos="1417"/>
        </w:tabs>
        <w:ind w:left="567" w:hanging="567"/>
        <w:rPr>
          <w:rFonts w:cs="Arial"/>
        </w:rPr>
      </w:pPr>
      <w:r w:rsidRPr="00DB12F7">
        <w:rPr>
          <w:rFonts w:cs="Arial"/>
        </w:rPr>
        <w:t>2</w:t>
      </w:r>
      <w:r w:rsidRPr="00DB12F7">
        <w:rPr>
          <w:rFonts w:cs="Arial"/>
        </w:rPr>
        <w:tab/>
      </w:r>
      <w:r w:rsidR="00922F09">
        <w:rPr>
          <w:rFonts w:cs="Arial"/>
        </w:rPr>
        <w:t>T</w:t>
      </w:r>
      <w:r w:rsidR="00922F09" w:rsidRPr="00C20A29">
        <w:rPr>
          <w:rFonts w:cs="Arial"/>
        </w:rPr>
        <w:t xml:space="preserve">he </w:t>
      </w:r>
      <w:r w:rsidR="00922F09">
        <w:rPr>
          <w:rFonts w:cs="Arial"/>
        </w:rPr>
        <w:t>correspondence</w:t>
      </w:r>
      <w:r w:rsidR="00922F09" w:rsidRPr="00C20A29">
        <w:rPr>
          <w:rFonts w:cs="Arial"/>
        </w:rPr>
        <w:t xml:space="preserve"> must be </w:t>
      </w:r>
      <w:r w:rsidR="00922F09" w:rsidRPr="00D05B13">
        <w:rPr>
          <w:rFonts w:cs="Arial"/>
        </w:rPr>
        <w:t xml:space="preserve">of </w:t>
      </w:r>
      <w:r w:rsidR="00922F09" w:rsidRPr="00C20A29">
        <w:rPr>
          <w:rFonts w:cs="Arial"/>
        </w:rPr>
        <w:t>sufficient length and complexity to enable the candidate to demonstrate competence</w:t>
      </w:r>
      <w:r w:rsidR="00922F09">
        <w:rPr>
          <w:rFonts w:cs="Arial"/>
        </w:rPr>
        <w:t>.</w:t>
      </w:r>
    </w:p>
    <w:p w14:paraId="748BA3DC" w14:textId="2C124812" w:rsidR="00DB12F7" w:rsidRPr="00DB12F7" w:rsidRDefault="00922F09" w:rsidP="00DB12F7">
      <w:pPr>
        <w:tabs>
          <w:tab w:val="left" w:pos="567"/>
          <w:tab w:val="left" w:pos="1134"/>
          <w:tab w:val="left" w:pos="1417"/>
        </w:tabs>
        <w:ind w:left="567" w:hanging="567"/>
        <w:rPr>
          <w:rFonts w:cs="Arial"/>
        </w:rPr>
      </w:pPr>
      <w:r>
        <w:rPr>
          <w:rFonts w:cs="Arial"/>
        </w:rPr>
        <w:tab/>
      </w:r>
    </w:p>
    <w:p w14:paraId="748BA3DD" w14:textId="77777777" w:rsidR="00DB12F7" w:rsidRPr="00DB12F7" w:rsidRDefault="00DB12F7" w:rsidP="00DB12F7">
      <w:pPr>
        <w:tabs>
          <w:tab w:val="left" w:pos="567"/>
          <w:tab w:val="left" w:pos="1134"/>
          <w:tab w:val="left" w:pos="1417"/>
        </w:tabs>
        <w:ind w:left="567" w:hanging="567"/>
        <w:rPr>
          <w:rFonts w:cs="Arial"/>
        </w:rPr>
      </w:pPr>
    </w:p>
    <w:p w14:paraId="748BA3DE" w14:textId="77777777" w:rsidR="00DB12F7" w:rsidRPr="00DB12F7" w:rsidRDefault="00DB12F7" w:rsidP="00DB12F7">
      <w:pPr>
        <w:tabs>
          <w:tab w:val="left" w:pos="567"/>
          <w:tab w:val="left" w:pos="1134"/>
          <w:tab w:val="left" w:pos="1417"/>
        </w:tabs>
        <w:ind w:left="567" w:hanging="567"/>
        <w:rPr>
          <w:rFonts w:cs="Arial"/>
        </w:rPr>
      </w:pPr>
      <w:r w:rsidRPr="00DB12F7">
        <w:rPr>
          <w:rFonts w:cs="Arial"/>
        </w:rPr>
        <w:t>3</w:t>
      </w:r>
      <w:r w:rsidRPr="00DB12F7">
        <w:rPr>
          <w:rFonts w:cs="Arial"/>
        </w:rPr>
        <w:tab/>
        <w:t>Candidates must be given the opportunity to edit and proof read their work before it is assessed.</w:t>
      </w:r>
    </w:p>
    <w:p w14:paraId="748BA3DF" w14:textId="2A418771" w:rsidR="00A73F41" w:rsidRDefault="00A73F41">
      <w:pPr>
        <w:tabs>
          <w:tab w:val="left" w:pos="567"/>
        </w:tabs>
        <w:rPr>
          <w:rFonts w:cs="Arial"/>
        </w:rPr>
      </w:pPr>
    </w:p>
    <w:p w14:paraId="027735AC" w14:textId="71BC3815" w:rsidR="008E55B7" w:rsidRDefault="008E55B7" w:rsidP="008E55B7">
      <w:pPr>
        <w:tabs>
          <w:tab w:val="left" w:pos="567"/>
          <w:tab w:val="left" w:pos="1134"/>
          <w:tab w:val="left" w:pos="1417"/>
        </w:tabs>
        <w:ind w:left="567" w:hanging="567"/>
        <w:rPr>
          <w:rFonts w:cs="Arial"/>
          <w:szCs w:val="24"/>
        </w:rPr>
      </w:pPr>
      <w:r>
        <w:rPr>
          <w:rFonts w:cs="Arial"/>
        </w:rPr>
        <w:t>4</w:t>
      </w:r>
      <w:r>
        <w:rPr>
          <w:rFonts w:cs="Arial"/>
        </w:rPr>
        <w:tab/>
        <w:t xml:space="preserve">All activities relevant to this standard will respect </w:t>
      </w:r>
      <w:r>
        <w:rPr>
          <w:rFonts w:cs="Arial"/>
          <w:szCs w:val="24"/>
        </w:rPr>
        <w:t>ngā kaupapa o te Tiriti o Waitangi (the principles of the Treaty of Waitangi).</w:t>
      </w:r>
    </w:p>
    <w:p w14:paraId="3252BFE8" w14:textId="77777777" w:rsidR="008E55B7" w:rsidRDefault="008E55B7" w:rsidP="008E55B7">
      <w:pPr>
        <w:tabs>
          <w:tab w:val="left" w:pos="567"/>
          <w:tab w:val="left" w:pos="1134"/>
          <w:tab w:val="left" w:pos="1417"/>
        </w:tabs>
        <w:ind w:left="567" w:hanging="567"/>
        <w:rPr>
          <w:rFonts w:cs="Arial"/>
          <w:szCs w:val="24"/>
        </w:rPr>
      </w:pPr>
    </w:p>
    <w:p w14:paraId="2B98F882" w14:textId="444BD00D" w:rsidR="008E55B7" w:rsidRDefault="008E55B7" w:rsidP="008E55B7">
      <w:pPr>
        <w:tabs>
          <w:tab w:val="left" w:pos="567"/>
          <w:tab w:val="left" w:pos="1134"/>
          <w:tab w:val="left" w:pos="1417"/>
        </w:tabs>
        <w:ind w:left="567" w:hanging="567"/>
        <w:rPr>
          <w:rFonts w:cs="Arial"/>
          <w:szCs w:val="24"/>
        </w:rPr>
      </w:pPr>
      <w:r>
        <w:rPr>
          <w:rFonts w:cs="Arial"/>
          <w:szCs w:val="24"/>
        </w:rPr>
        <w:t>5</w:t>
      </w:r>
      <w:r>
        <w:rPr>
          <w:rFonts w:cs="Arial"/>
          <w:szCs w:val="24"/>
        </w:rPr>
        <w:tab/>
      </w:r>
      <w:r w:rsidR="00581AAB">
        <w:rPr>
          <w:rFonts w:cs="Arial"/>
          <w:szCs w:val="24"/>
        </w:rPr>
        <w:t>All activities will, as relevant to candidates and/or this standard, reflect the</w:t>
      </w:r>
      <w:r w:rsidR="00581AAB">
        <w:rPr>
          <w:rStyle w:val="public-draftstyledefault-block"/>
          <w:rFonts w:ascii="Helvetica" w:hAnsi="Helvetica" w:cs="Helvetica"/>
          <w:color w:val="333333"/>
          <w:szCs w:val="24"/>
          <w:bdr w:val="none" w:sz="0" w:space="0" w:color="auto" w:frame="1"/>
        </w:rPr>
        <w:t xml:space="preserve"> peoples of the Pacific and other cultures, and their world views.</w:t>
      </w:r>
    </w:p>
    <w:p w14:paraId="2EF5BD56" w14:textId="77777777" w:rsidR="008E55B7" w:rsidRDefault="008E55B7">
      <w:pPr>
        <w:tabs>
          <w:tab w:val="left" w:pos="567"/>
        </w:tabs>
        <w:rPr>
          <w:rFonts w:cs="Arial"/>
        </w:rPr>
      </w:pPr>
    </w:p>
    <w:p w14:paraId="748BA3E0" w14:textId="77777777" w:rsidR="00A73F41" w:rsidRPr="00DB12F7" w:rsidRDefault="00A73F41">
      <w:pPr>
        <w:pBdr>
          <w:top w:val="single" w:sz="4" w:space="1" w:color="auto"/>
        </w:pBdr>
        <w:tabs>
          <w:tab w:val="left" w:pos="567"/>
        </w:tabs>
        <w:rPr>
          <w:rFonts w:cs="Arial"/>
          <w:b/>
          <w:bCs/>
          <w:sz w:val="28"/>
        </w:rPr>
      </w:pPr>
      <w:r>
        <w:rPr>
          <w:b/>
          <w:bCs/>
          <w:sz w:val="28"/>
        </w:rPr>
        <w:t>Ou</w:t>
      </w:r>
      <w:r w:rsidR="00BD7532">
        <w:rPr>
          <w:b/>
          <w:bCs/>
          <w:sz w:val="28"/>
        </w:rPr>
        <w:t xml:space="preserve">tcomes and performance </w:t>
      </w:r>
      <w:r w:rsidR="002679DA">
        <w:rPr>
          <w:b/>
          <w:bCs/>
          <w:sz w:val="28"/>
        </w:rPr>
        <w:t>criteri</w:t>
      </w:r>
      <w:r w:rsidR="002679DA" w:rsidRPr="00DB12F7">
        <w:rPr>
          <w:rFonts w:cs="Arial"/>
          <w:b/>
          <w:bCs/>
          <w:sz w:val="28"/>
        </w:rPr>
        <w:t>a</w:t>
      </w:r>
    </w:p>
    <w:p w14:paraId="748BA3E1" w14:textId="77777777" w:rsidR="00DB12F7" w:rsidRPr="00DB12F7" w:rsidRDefault="00DB12F7">
      <w:pPr>
        <w:tabs>
          <w:tab w:val="left" w:pos="567"/>
        </w:tabs>
        <w:rPr>
          <w:rFonts w:cs="Arial"/>
        </w:rPr>
      </w:pPr>
    </w:p>
    <w:p w14:paraId="748BA3E2" w14:textId="77777777" w:rsidR="00DB12F7" w:rsidRPr="00DB12F7" w:rsidRDefault="00DB12F7" w:rsidP="00DB12F7">
      <w:pPr>
        <w:rPr>
          <w:rFonts w:cs="Arial"/>
          <w:b/>
        </w:rPr>
      </w:pPr>
      <w:r w:rsidRPr="00DB12F7">
        <w:rPr>
          <w:rFonts w:cs="Arial"/>
          <w:b/>
        </w:rPr>
        <w:t>Outcome 1</w:t>
      </w:r>
    </w:p>
    <w:p w14:paraId="748BA3E3" w14:textId="77777777" w:rsidR="00DB12F7" w:rsidRPr="00DB12F7" w:rsidRDefault="00DB12F7" w:rsidP="00DB12F7">
      <w:pPr>
        <w:rPr>
          <w:rFonts w:cs="Arial"/>
          <w:b/>
        </w:rPr>
      </w:pPr>
    </w:p>
    <w:p w14:paraId="748BA3E4" w14:textId="77777777" w:rsidR="00DB12F7" w:rsidRPr="00DB12F7" w:rsidRDefault="00DB12F7" w:rsidP="00DB12F7">
      <w:pPr>
        <w:rPr>
          <w:rFonts w:cs="Arial"/>
        </w:rPr>
      </w:pPr>
      <w:r w:rsidRPr="00DB12F7">
        <w:rPr>
          <w:rFonts w:cs="Arial"/>
        </w:rPr>
        <w:t>Write formal personal correspondence.</w:t>
      </w:r>
    </w:p>
    <w:p w14:paraId="748BA3E5" w14:textId="77777777" w:rsidR="00DB12F7" w:rsidRPr="00DB12F7" w:rsidRDefault="00DB12F7" w:rsidP="00DB12F7">
      <w:pPr>
        <w:rPr>
          <w:rFonts w:cs="Arial"/>
        </w:rPr>
      </w:pPr>
    </w:p>
    <w:p w14:paraId="748BA3E6" w14:textId="77777777" w:rsidR="00DB12F7" w:rsidRPr="00DB12F7" w:rsidRDefault="00DB12F7" w:rsidP="00DB12F7">
      <w:pPr>
        <w:tabs>
          <w:tab w:val="left" w:pos="1134"/>
        </w:tabs>
        <w:ind w:left="1134" w:hanging="1134"/>
        <w:rPr>
          <w:rFonts w:cs="Arial"/>
        </w:rPr>
      </w:pPr>
      <w:r w:rsidRPr="00DB12F7">
        <w:rPr>
          <w:rFonts w:cs="Arial"/>
        </w:rPr>
        <w:t>Range</w:t>
      </w:r>
      <w:r w:rsidRPr="00DB12F7">
        <w:rPr>
          <w:rFonts w:cs="Arial"/>
        </w:rPr>
        <w:tab/>
        <w:t>two pieces of formal personal correspondence for different purposes.</w:t>
      </w:r>
    </w:p>
    <w:p w14:paraId="748BA3E8" w14:textId="77777777" w:rsidR="00DB12F7" w:rsidRPr="00DB12F7" w:rsidRDefault="00DB12F7" w:rsidP="00DB12F7">
      <w:pPr>
        <w:rPr>
          <w:rFonts w:cs="Arial"/>
        </w:rPr>
      </w:pPr>
    </w:p>
    <w:p w14:paraId="748BA3E9" w14:textId="77777777" w:rsidR="00DB12F7" w:rsidRPr="00DB12F7" w:rsidRDefault="00DB12F7" w:rsidP="00DB12F7">
      <w:pPr>
        <w:rPr>
          <w:rFonts w:cs="Arial"/>
          <w:b/>
        </w:rPr>
      </w:pPr>
      <w:r w:rsidRPr="00DB12F7">
        <w:rPr>
          <w:rFonts w:cs="Arial"/>
          <w:b/>
        </w:rPr>
        <w:t>Performance criteria</w:t>
      </w:r>
    </w:p>
    <w:p w14:paraId="748BA3EA" w14:textId="77777777" w:rsidR="00DB12F7" w:rsidRPr="00DB12F7" w:rsidRDefault="00DB12F7" w:rsidP="00DB12F7">
      <w:pPr>
        <w:rPr>
          <w:rFonts w:cs="Arial"/>
          <w:b/>
        </w:rPr>
      </w:pPr>
    </w:p>
    <w:p w14:paraId="748BA3EB" w14:textId="5463A085" w:rsidR="00DB12F7" w:rsidRPr="00DB12F7" w:rsidRDefault="00DB12F7" w:rsidP="00DB12F7">
      <w:pPr>
        <w:ind w:left="1134" w:hanging="1134"/>
        <w:rPr>
          <w:rFonts w:cs="Arial"/>
        </w:rPr>
      </w:pPr>
      <w:r w:rsidRPr="00DB12F7">
        <w:rPr>
          <w:rFonts w:cs="Arial"/>
        </w:rPr>
        <w:t>1.1</w:t>
      </w:r>
      <w:r w:rsidRPr="00DB12F7">
        <w:rPr>
          <w:rFonts w:cs="Arial"/>
        </w:rPr>
        <w:tab/>
      </w:r>
      <w:r w:rsidR="00922F09">
        <w:rPr>
          <w:rFonts w:cs="Arial"/>
        </w:rPr>
        <w:t>A</w:t>
      </w:r>
      <w:r w:rsidRPr="00DB12F7">
        <w:rPr>
          <w:rFonts w:cs="Arial"/>
        </w:rPr>
        <w:t>n appropriate formal format</w:t>
      </w:r>
      <w:r w:rsidR="00922F09">
        <w:rPr>
          <w:rFonts w:cs="Arial"/>
        </w:rPr>
        <w:t xml:space="preserve"> is used</w:t>
      </w:r>
      <w:r w:rsidRPr="00DB12F7">
        <w:rPr>
          <w:rFonts w:cs="Arial"/>
        </w:rPr>
        <w:t xml:space="preserve"> and the purpose is clear.</w:t>
      </w:r>
    </w:p>
    <w:p w14:paraId="748BA3EC" w14:textId="77777777" w:rsidR="00DB12F7" w:rsidRPr="00DB12F7" w:rsidRDefault="00DB12F7" w:rsidP="00DB12F7">
      <w:pPr>
        <w:ind w:left="1134" w:hanging="1134"/>
        <w:rPr>
          <w:rFonts w:cs="Arial"/>
        </w:rPr>
      </w:pPr>
    </w:p>
    <w:p w14:paraId="748BA3ED" w14:textId="77777777" w:rsidR="00DB12F7" w:rsidRPr="00DB12F7" w:rsidRDefault="00DB12F7" w:rsidP="00DB12F7">
      <w:pPr>
        <w:ind w:left="1134" w:hanging="1134"/>
        <w:rPr>
          <w:rFonts w:cs="Arial"/>
        </w:rPr>
      </w:pPr>
      <w:r w:rsidRPr="00DB12F7">
        <w:rPr>
          <w:rFonts w:cs="Arial"/>
        </w:rPr>
        <w:t>1.2</w:t>
      </w:r>
      <w:r w:rsidRPr="00DB12F7">
        <w:rPr>
          <w:rFonts w:cs="Arial"/>
        </w:rPr>
        <w:tab/>
        <w:t>Vocabulary and tone are appropriate to the purpose and audience.</w:t>
      </w:r>
    </w:p>
    <w:p w14:paraId="748BA3EE" w14:textId="77777777" w:rsidR="00DB12F7" w:rsidRPr="00DB12F7" w:rsidRDefault="00DB12F7" w:rsidP="00DB12F7">
      <w:pPr>
        <w:ind w:left="1134" w:hanging="1134"/>
        <w:rPr>
          <w:rFonts w:cs="Arial"/>
        </w:rPr>
      </w:pPr>
    </w:p>
    <w:p w14:paraId="748BA3EF" w14:textId="77777777" w:rsidR="00DB12F7" w:rsidRPr="00DB12F7" w:rsidRDefault="00DB12F7" w:rsidP="00DB12F7">
      <w:pPr>
        <w:ind w:left="1134" w:hanging="1134"/>
        <w:rPr>
          <w:rFonts w:cs="Arial"/>
        </w:rPr>
      </w:pPr>
      <w:r w:rsidRPr="00DB12F7">
        <w:rPr>
          <w:rFonts w:cs="Arial"/>
        </w:rPr>
        <w:t>1.3</w:t>
      </w:r>
      <w:r w:rsidRPr="00DB12F7">
        <w:rPr>
          <w:rFonts w:cs="Arial"/>
        </w:rPr>
        <w:tab/>
        <w:t>Correspondence is clear in meaning, relevant, and ordered in a sequence appropriate to the context.</w:t>
      </w:r>
    </w:p>
    <w:p w14:paraId="748BA3F0" w14:textId="77777777" w:rsidR="00DB12F7" w:rsidRPr="00DB12F7" w:rsidRDefault="00DB12F7" w:rsidP="00DB12F7">
      <w:pPr>
        <w:widowControl w:val="0"/>
        <w:rPr>
          <w:rFonts w:cs="Arial"/>
        </w:rPr>
      </w:pPr>
    </w:p>
    <w:p w14:paraId="748BA3F1" w14:textId="77777777" w:rsidR="00DB12F7" w:rsidRPr="00DB12F7" w:rsidRDefault="00DB12F7" w:rsidP="00DB12F7">
      <w:pPr>
        <w:ind w:left="1134" w:hanging="1134"/>
        <w:rPr>
          <w:rFonts w:cs="Arial"/>
        </w:rPr>
      </w:pPr>
      <w:r w:rsidRPr="00DB12F7">
        <w:rPr>
          <w:rFonts w:cs="Arial"/>
        </w:rPr>
        <w:t>1.4</w:t>
      </w:r>
      <w:r w:rsidRPr="00DB12F7">
        <w:rPr>
          <w:rFonts w:cs="Arial"/>
        </w:rPr>
        <w:tab/>
        <w:t>Punctuation, spelling, and grammatical errors do not detract from the purpose of the correspondence.</w:t>
      </w:r>
    </w:p>
    <w:p w14:paraId="748BA3F2" w14:textId="77777777" w:rsidR="00A73F41" w:rsidRDefault="00A73F41">
      <w:pPr>
        <w:tabs>
          <w:tab w:val="left" w:pos="1134"/>
          <w:tab w:val="left" w:pos="2552"/>
        </w:tabs>
        <w:ind w:left="1134" w:hanging="1134"/>
        <w:rPr>
          <w:rFonts w:cs="Arial"/>
        </w:rPr>
      </w:pPr>
    </w:p>
    <w:p w14:paraId="748BA3F3"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748BA3FA" w14:textId="77777777" w:rsidTr="00AE086A">
        <w:trPr>
          <w:cantSplit/>
        </w:trPr>
        <w:tc>
          <w:tcPr>
            <w:tcW w:w="3228" w:type="dxa"/>
            <w:shd w:val="clear" w:color="auto" w:fill="F3F3F3"/>
            <w:tcMar>
              <w:top w:w="170" w:type="dxa"/>
              <w:bottom w:w="170" w:type="dxa"/>
            </w:tcMar>
          </w:tcPr>
          <w:p w14:paraId="748BA3F8" w14:textId="77777777" w:rsidR="00A73F41" w:rsidRDefault="00A73F41">
            <w:pPr>
              <w:pStyle w:val="StyleBoldBefore6ptAfter6pt"/>
              <w:keepNext/>
              <w:spacing w:before="0" w:after="0"/>
            </w:pPr>
            <w:r>
              <w:t>Planned review date</w:t>
            </w:r>
          </w:p>
        </w:tc>
        <w:tc>
          <w:tcPr>
            <w:tcW w:w="6614" w:type="dxa"/>
            <w:tcMar>
              <w:top w:w="170" w:type="dxa"/>
              <w:bottom w:w="170" w:type="dxa"/>
            </w:tcMar>
            <w:vAlign w:val="center"/>
          </w:tcPr>
          <w:p w14:paraId="748BA3F9" w14:textId="6FB52857" w:rsidR="00A73F41" w:rsidRDefault="00DB12F7">
            <w:pPr>
              <w:pStyle w:val="StyleBefore6ptAfter6pt"/>
              <w:spacing w:before="0" w:after="0"/>
            </w:pPr>
            <w:r>
              <w:t>31 December 202</w:t>
            </w:r>
            <w:r w:rsidR="00AE086A">
              <w:t>6</w:t>
            </w:r>
          </w:p>
        </w:tc>
      </w:tr>
    </w:tbl>
    <w:p w14:paraId="748BA3FB" w14:textId="77777777" w:rsidR="00A73F41" w:rsidRDefault="00A73F41"/>
    <w:p w14:paraId="748BA3FC"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748BA40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48BA3FD"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48BA3FE"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48BA3FF"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48BA400" w14:textId="77777777" w:rsidR="00A73F41" w:rsidRDefault="00A73F41">
            <w:pPr>
              <w:autoSpaceDE w:val="0"/>
              <w:autoSpaceDN w:val="0"/>
              <w:adjustRightInd w:val="0"/>
              <w:rPr>
                <w:rStyle w:val="StyleBold"/>
              </w:rPr>
            </w:pPr>
            <w:r>
              <w:rPr>
                <w:rStyle w:val="StyleBold"/>
              </w:rPr>
              <w:t>Last Date for Assessment</w:t>
            </w:r>
          </w:p>
        </w:tc>
      </w:tr>
      <w:tr w:rsidR="00A73F41" w14:paraId="748BA406" w14:textId="77777777" w:rsidTr="00DB12F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2" w14:textId="77777777" w:rsidR="00A73F41" w:rsidRDefault="00DB12F7">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3" w14:textId="77777777" w:rsidR="00A73F41" w:rsidRDefault="00DB12F7">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4" w14:textId="77777777" w:rsidR="00A73F41" w:rsidRDefault="00DB12F7">
            <w:pPr>
              <w:keepNext/>
              <w:rPr>
                <w:rFonts w:cs="Arial"/>
              </w:rPr>
            </w:pPr>
            <w:r>
              <w:rPr>
                <w:rFonts w:cs="Arial"/>
              </w:rPr>
              <w:t>24 March 1998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5" w14:textId="77777777" w:rsidR="00A73F41" w:rsidRDefault="00DB12F7">
            <w:pPr>
              <w:keepNext/>
              <w:rPr>
                <w:rFonts w:cs="Arial"/>
              </w:rPr>
            </w:pPr>
            <w:r>
              <w:rPr>
                <w:rFonts w:cs="Arial"/>
              </w:rPr>
              <w:t>31 December 2014</w:t>
            </w:r>
          </w:p>
        </w:tc>
      </w:tr>
      <w:tr w:rsidR="00DB12F7" w14:paraId="748BA40B" w14:textId="77777777" w:rsidTr="00DB12F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7" w14:textId="77777777" w:rsidR="00DB12F7" w:rsidRDefault="00DB12F7">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8" w14:textId="77777777" w:rsidR="00DB12F7" w:rsidRDefault="00DB12F7">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9" w14:textId="77777777" w:rsidR="00DB12F7" w:rsidRDefault="00DB12F7">
            <w:pPr>
              <w:keepNext/>
              <w:rPr>
                <w:rFonts w:cs="Arial"/>
              </w:rPr>
            </w:pPr>
            <w:r>
              <w:rPr>
                <w:rFonts w:cs="Arial"/>
              </w:rPr>
              <w:t>17 October 2002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A" w14:textId="77777777" w:rsidR="00DB12F7" w:rsidRDefault="00DB12F7">
            <w:pPr>
              <w:keepNext/>
              <w:rPr>
                <w:rFonts w:cs="Arial"/>
              </w:rPr>
            </w:pPr>
            <w:r>
              <w:rPr>
                <w:rFonts w:cs="Arial"/>
              </w:rPr>
              <w:t>31 December 2014</w:t>
            </w:r>
          </w:p>
        </w:tc>
      </w:tr>
      <w:tr w:rsidR="00DB12F7" w14:paraId="748BA410" w14:textId="77777777" w:rsidTr="00DB12F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C" w14:textId="77777777" w:rsidR="00DB12F7" w:rsidRDefault="00DB12F7">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D" w14:textId="77777777" w:rsidR="00DB12F7" w:rsidRDefault="00DB12F7">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E" w14:textId="77777777" w:rsidR="00DB12F7" w:rsidRDefault="00DB12F7">
            <w:pPr>
              <w:keepNext/>
              <w:rPr>
                <w:rFonts w:cs="Arial"/>
              </w:rPr>
            </w:pPr>
            <w:r>
              <w:rPr>
                <w:rFonts w:cs="Arial"/>
              </w:rPr>
              <w:t>17 April 2009</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0F" w14:textId="77777777" w:rsidR="00DB12F7" w:rsidRDefault="00DB12F7">
            <w:pPr>
              <w:keepNext/>
              <w:rPr>
                <w:rFonts w:cs="Arial"/>
              </w:rPr>
            </w:pPr>
            <w:r>
              <w:rPr>
                <w:rFonts w:cs="Arial"/>
              </w:rPr>
              <w:t>31 December 2016</w:t>
            </w:r>
          </w:p>
        </w:tc>
      </w:tr>
      <w:tr w:rsidR="00DB12F7" w14:paraId="748BA415" w14:textId="77777777" w:rsidTr="00DB12F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11" w14:textId="77777777" w:rsidR="00DB12F7" w:rsidRDefault="00DB12F7">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12" w14:textId="77777777" w:rsidR="00DB12F7" w:rsidRDefault="00DB12F7">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13" w14:textId="77777777" w:rsidR="00DB12F7" w:rsidRDefault="00DB12F7">
            <w:pPr>
              <w:keepNext/>
              <w:rPr>
                <w:rFonts w:cs="Arial"/>
              </w:rPr>
            </w:pPr>
            <w:r>
              <w:rPr>
                <w:rFonts w:cs="Arial"/>
              </w:rPr>
              <w:t>24 October 2014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14" w14:textId="77777777" w:rsidR="00DB12F7" w:rsidRDefault="00DB12F7">
            <w:pPr>
              <w:keepNext/>
              <w:rPr>
                <w:rFonts w:cs="Arial"/>
              </w:rPr>
            </w:pPr>
            <w:r>
              <w:rPr>
                <w:rFonts w:cs="Arial"/>
              </w:rPr>
              <w:t>31 December 2020</w:t>
            </w:r>
          </w:p>
        </w:tc>
      </w:tr>
      <w:tr w:rsidR="00DB12F7" w14:paraId="748BA41A" w14:textId="77777777" w:rsidTr="00DB12F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16" w14:textId="77777777" w:rsidR="00DB12F7" w:rsidRDefault="00DB12F7">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17" w14:textId="77777777" w:rsidR="00DB12F7" w:rsidRDefault="00DB12F7">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18" w14:textId="77777777" w:rsidR="00DB12F7" w:rsidRDefault="00DB12F7">
            <w:pPr>
              <w:keepNext/>
              <w:rPr>
                <w:rFonts w:cs="Arial"/>
              </w:rPr>
            </w:pPr>
            <w:r>
              <w:rPr>
                <w:rFonts w:cs="Arial"/>
              </w:rPr>
              <w:t>16 February 2017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748BA419" w14:textId="77777777" w:rsidR="00DB12F7" w:rsidRDefault="00DB12F7">
            <w:pPr>
              <w:keepNext/>
              <w:rPr>
                <w:rFonts w:cs="Arial"/>
              </w:rPr>
            </w:pPr>
            <w:r>
              <w:rPr>
                <w:rFonts w:cs="Arial"/>
              </w:rPr>
              <w:t>N/A</w:t>
            </w:r>
          </w:p>
        </w:tc>
      </w:tr>
      <w:tr w:rsidR="00662384" w14:paraId="522A995E" w14:textId="77777777" w:rsidTr="00DB12F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91CED27" w14:textId="1740397B" w:rsidR="00662384" w:rsidRDefault="00662384">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15C2D952" w14:textId="15E9ED0B" w:rsidR="00662384" w:rsidRDefault="00662384">
            <w:pPr>
              <w:keepNext/>
              <w:rPr>
                <w:rFonts w:cs="Arial"/>
              </w:rPr>
            </w:pPr>
            <w:r>
              <w:rPr>
                <w:rFonts w:cs="Arial"/>
              </w:rPr>
              <w:t>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6F17E4B2" w14:textId="68321E16" w:rsidR="00662384" w:rsidRDefault="00662384">
            <w:pPr>
              <w:keepNext/>
              <w:rPr>
                <w:rFonts w:cs="Arial"/>
              </w:rPr>
            </w:pPr>
            <w:r>
              <w:rPr>
                <w:rFonts w:cs="Arial"/>
              </w:rPr>
              <w:t>XXXX 2021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vAlign w:val="center"/>
          </w:tcPr>
          <w:p w14:paraId="02AD6C91" w14:textId="4369AF3D" w:rsidR="00662384" w:rsidRDefault="00662384">
            <w:pPr>
              <w:keepNext/>
              <w:rPr>
                <w:rFonts w:cs="Arial"/>
              </w:rPr>
            </w:pPr>
            <w:r>
              <w:rPr>
                <w:rFonts w:cs="Arial"/>
              </w:rPr>
              <w:t>N/A</w:t>
            </w:r>
          </w:p>
        </w:tc>
      </w:tr>
    </w:tbl>
    <w:p w14:paraId="748BA41B"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748BA41E" w14:textId="77777777" w:rsidTr="00DB12F7">
        <w:tc>
          <w:tcPr>
            <w:tcW w:w="7548" w:type="dxa"/>
            <w:shd w:val="clear" w:color="auto" w:fill="F3F3F3"/>
            <w:tcMar>
              <w:top w:w="60" w:type="dxa"/>
              <w:bottom w:w="60" w:type="dxa"/>
            </w:tcMar>
          </w:tcPr>
          <w:p w14:paraId="748BA41C"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vAlign w:val="center"/>
          </w:tcPr>
          <w:p w14:paraId="748BA41D" w14:textId="77777777" w:rsidR="00A73F41" w:rsidRDefault="00DB12F7">
            <w:pPr>
              <w:pStyle w:val="StyleBefore6ptAfter6pt"/>
              <w:keepNext/>
              <w:keepLines/>
              <w:spacing w:before="0" w:after="0"/>
            </w:pPr>
            <w:r>
              <w:t>0113</w:t>
            </w:r>
          </w:p>
        </w:tc>
      </w:tr>
    </w:tbl>
    <w:p w14:paraId="748BA41F" w14:textId="77777777" w:rsidR="00A73F41" w:rsidRDefault="00A73F41">
      <w:pPr>
        <w:keepNext/>
        <w:keepLines/>
        <w:rPr>
          <w:rFonts w:cs="Arial"/>
        </w:rPr>
      </w:pPr>
      <w:r>
        <w:rPr>
          <w:rFonts w:cs="Arial"/>
        </w:rPr>
        <w:t>This CMR can be accessed at</w:t>
      </w:r>
      <w:r w:rsidR="00E60CCA">
        <w:rPr>
          <w:rFonts w:cs="Arial"/>
        </w:rPr>
        <w:t xml:space="preserve"> </w:t>
      </w:r>
      <w:hyperlink r:id="rId7" w:history="1">
        <w:r>
          <w:rPr>
            <w:rStyle w:val="Hyperlink"/>
          </w:rPr>
          <w:t>http://www.nzqa.govt.nz/framework/search/index.do</w:t>
        </w:r>
      </w:hyperlink>
      <w:r>
        <w:rPr>
          <w:rFonts w:cs="Arial"/>
        </w:rPr>
        <w:t>.</w:t>
      </w:r>
    </w:p>
    <w:p w14:paraId="748BA420" w14:textId="77777777" w:rsidR="00A73F41" w:rsidRDefault="00A73F41"/>
    <w:p w14:paraId="748BA421" w14:textId="77777777" w:rsidR="00A73F41" w:rsidRDefault="00A73F41">
      <w:pPr>
        <w:keepNext/>
        <w:keepLines/>
        <w:pBdr>
          <w:top w:val="single" w:sz="4" w:space="1" w:color="auto"/>
        </w:pBdr>
        <w:rPr>
          <w:b/>
          <w:bCs/>
        </w:rPr>
      </w:pPr>
      <w:r>
        <w:rPr>
          <w:b/>
          <w:bCs/>
        </w:rPr>
        <w:t>Comments on this unit standard</w:t>
      </w:r>
    </w:p>
    <w:p w14:paraId="748BA422" w14:textId="77777777" w:rsidR="00A73F41" w:rsidRDefault="00A73F41">
      <w:pPr>
        <w:keepNext/>
        <w:keepLines/>
      </w:pPr>
    </w:p>
    <w:p w14:paraId="78A3E42D" w14:textId="77777777" w:rsidR="00D21840" w:rsidRDefault="00D21840" w:rsidP="00D21840">
      <w:pPr>
        <w:keepNext/>
        <w:keepLines/>
      </w:pPr>
      <w:r w:rsidRPr="00D0265A">
        <w:rPr>
          <w:rFonts w:cs="Arial"/>
        </w:rPr>
        <w:t xml:space="preserve">Please contact NZQA National Qualifications Services </w:t>
      </w:r>
      <w:hyperlink r:id="rId8" w:history="1">
        <w:r w:rsidRPr="00D0265A">
          <w:rPr>
            <w:rStyle w:val="Hyperlink"/>
            <w:rFonts w:cs="Arial"/>
          </w:rPr>
          <w:t>nqs@nzqa.govt.nz</w:t>
        </w:r>
      </w:hyperlink>
      <w:r w:rsidRPr="00D0265A">
        <w:rPr>
          <w:rFonts w:cs="Arial"/>
        </w:rPr>
        <w:t xml:space="preserve"> if you wish to suggest changes to the content of this unit standard.</w:t>
      </w:r>
    </w:p>
    <w:p w14:paraId="748BA423" w14:textId="4C3DC463" w:rsidR="00A73F41" w:rsidRDefault="00A73F41" w:rsidP="00D21840">
      <w:pPr>
        <w:keepNext/>
        <w:keepLines/>
      </w:pPr>
    </w:p>
    <w:sectPr w:rsidR="00A73F4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F382" w14:textId="77777777" w:rsidR="00F77FAF" w:rsidRDefault="00F77FAF">
      <w:r>
        <w:separator/>
      </w:r>
    </w:p>
  </w:endnote>
  <w:endnote w:type="continuationSeparator" w:id="0">
    <w:p w14:paraId="1E6BDA0F" w14:textId="77777777" w:rsidR="00F77FAF" w:rsidRDefault="00F7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AB73" w14:textId="77777777" w:rsidR="00D21840" w:rsidRDefault="00D21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9"/>
      <w:gridCol w:w="4819"/>
    </w:tblGrid>
    <w:tr w:rsidR="00A73F41" w14:paraId="748BA432" w14:textId="77777777">
      <w:trPr>
        <w:trHeight w:val="300"/>
      </w:trPr>
      <w:tc>
        <w:tcPr>
          <w:tcW w:w="4923" w:type="dxa"/>
          <w:tcBorders>
            <w:top w:val="single" w:sz="12" w:space="0" w:color="auto"/>
            <w:left w:val="nil"/>
            <w:bottom w:val="nil"/>
            <w:right w:val="nil"/>
          </w:tcBorders>
        </w:tcPr>
        <w:p w14:paraId="748BA42F" w14:textId="77777777" w:rsidR="00A73F41" w:rsidRPr="00DB12F7" w:rsidRDefault="00DB12F7">
          <w:pPr>
            <w:rPr>
              <w:bCs/>
              <w:iCs/>
              <w:sz w:val="20"/>
            </w:rPr>
          </w:pPr>
          <w:r w:rsidRPr="00DB12F7">
            <w:rPr>
              <w:bCs/>
              <w:iCs/>
              <w:sz w:val="20"/>
            </w:rPr>
            <w:t>NZQA National Qualifications Services</w:t>
          </w:r>
        </w:p>
        <w:p w14:paraId="748BA430" w14:textId="77777777" w:rsidR="00A73F41" w:rsidRPr="00DB12F7" w:rsidRDefault="00A73F41">
          <w:pPr>
            <w:rPr>
              <w:bCs/>
              <w:sz w:val="20"/>
            </w:rPr>
          </w:pPr>
          <w:r w:rsidRPr="00DB12F7">
            <w:rPr>
              <w:bCs/>
              <w:iCs/>
              <w:sz w:val="20"/>
            </w:rPr>
            <w:t xml:space="preserve">SSB Code </w:t>
          </w:r>
          <w:r w:rsidR="00DB12F7" w:rsidRPr="00DB12F7">
            <w:rPr>
              <w:bCs/>
              <w:iCs/>
              <w:sz w:val="20"/>
            </w:rPr>
            <w:t>130301</w:t>
          </w:r>
        </w:p>
      </w:tc>
      <w:tc>
        <w:tcPr>
          <w:tcW w:w="4924" w:type="dxa"/>
          <w:tcBorders>
            <w:top w:val="single" w:sz="12" w:space="0" w:color="auto"/>
            <w:left w:val="nil"/>
            <w:bottom w:val="nil"/>
            <w:right w:val="nil"/>
          </w:tcBorders>
        </w:tcPr>
        <w:p w14:paraId="748BA431" w14:textId="60094385"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226689">
            <w:rPr>
              <w:bCs/>
              <w:noProof/>
              <w:sz w:val="20"/>
            </w:rPr>
            <w:t>2021</w:t>
          </w:r>
          <w:r>
            <w:rPr>
              <w:bCs/>
              <w:sz w:val="20"/>
            </w:rPr>
            <w:fldChar w:fldCharType="end"/>
          </w:r>
        </w:p>
      </w:tc>
    </w:tr>
  </w:tbl>
  <w:p w14:paraId="748BA433" w14:textId="77777777" w:rsidR="00A73F41" w:rsidRDefault="00A73F41">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0EF6" w14:textId="77777777" w:rsidR="00D21840" w:rsidRDefault="00D21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8762" w14:textId="77777777" w:rsidR="00F77FAF" w:rsidRDefault="00F77FAF">
      <w:r>
        <w:separator/>
      </w:r>
    </w:p>
  </w:footnote>
  <w:footnote w:type="continuationSeparator" w:id="0">
    <w:p w14:paraId="016C52F4" w14:textId="77777777" w:rsidR="00F77FAF" w:rsidRDefault="00F7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0DCE" w14:textId="77777777" w:rsidR="00D21840" w:rsidRDefault="00D21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2"/>
      <w:gridCol w:w="4816"/>
    </w:tblGrid>
    <w:tr w:rsidR="00A73F41" w14:paraId="748BA42A" w14:textId="77777777" w:rsidTr="001F54BA">
      <w:tc>
        <w:tcPr>
          <w:tcW w:w="4927" w:type="dxa"/>
          <w:shd w:val="clear" w:color="auto" w:fill="auto"/>
        </w:tcPr>
        <w:p w14:paraId="748BA428" w14:textId="77777777" w:rsidR="00A73F41" w:rsidRDefault="00DB12F7">
          <w:r>
            <w:t>NZQA proposed unit standard</w:t>
          </w:r>
        </w:p>
      </w:tc>
      <w:tc>
        <w:tcPr>
          <w:tcW w:w="4927" w:type="dxa"/>
          <w:shd w:val="clear" w:color="auto" w:fill="auto"/>
        </w:tcPr>
        <w:p w14:paraId="748BA429" w14:textId="0D12012F" w:rsidR="00A73F41" w:rsidRDefault="00DB12F7" w:rsidP="001F54BA">
          <w:pPr>
            <w:jc w:val="right"/>
          </w:pPr>
          <w:r>
            <w:t xml:space="preserve">10792 version </w:t>
          </w:r>
          <w:r w:rsidR="00D21840">
            <w:t>6</w:t>
          </w:r>
        </w:p>
      </w:tc>
    </w:tr>
    <w:tr w:rsidR="00A73F41" w14:paraId="748BA42D" w14:textId="77777777" w:rsidTr="001F54BA">
      <w:tc>
        <w:tcPr>
          <w:tcW w:w="4927" w:type="dxa"/>
          <w:shd w:val="clear" w:color="auto" w:fill="auto"/>
        </w:tcPr>
        <w:p w14:paraId="748BA42B" w14:textId="77777777" w:rsidR="00A73F41" w:rsidRDefault="00A73F41"/>
      </w:tc>
      <w:tc>
        <w:tcPr>
          <w:tcW w:w="4927" w:type="dxa"/>
          <w:shd w:val="clear" w:color="auto" w:fill="auto"/>
        </w:tcPr>
        <w:p w14:paraId="748BA42C" w14:textId="77777777" w:rsidR="00A73F41" w:rsidRDefault="00A73F41" w:rsidP="001F54BA">
          <w:pPr>
            <w:jc w:val="right"/>
          </w:pPr>
          <w:r>
            <w:t xml:space="preserve">Page </w:t>
          </w:r>
          <w:r>
            <w:fldChar w:fldCharType="begin"/>
          </w:r>
          <w:r>
            <w:instrText xml:space="preserve"> page </w:instrText>
          </w:r>
          <w:r>
            <w:fldChar w:fldCharType="separate"/>
          </w:r>
          <w:r w:rsidR="009149DD">
            <w:rPr>
              <w:noProof/>
            </w:rPr>
            <w:t>1</w:t>
          </w:r>
          <w:r>
            <w:fldChar w:fldCharType="end"/>
          </w:r>
          <w:r>
            <w:t xml:space="preserve"> of </w:t>
          </w:r>
          <w:r w:rsidR="00581AAB">
            <w:fldChar w:fldCharType="begin"/>
          </w:r>
          <w:r w:rsidR="00581AAB">
            <w:instrText xml:space="preserve"> numpages </w:instrText>
          </w:r>
          <w:r w:rsidR="00581AAB">
            <w:fldChar w:fldCharType="separate"/>
          </w:r>
          <w:r w:rsidR="009149DD">
            <w:rPr>
              <w:noProof/>
            </w:rPr>
            <w:t>2</w:t>
          </w:r>
          <w:r w:rsidR="00581AAB">
            <w:rPr>
              <w:noProof/>
            </w:rPr>
            <w:fldChar w:fldCharType="end"/>
          </w:r>
        </w:p>
      </w:tc>
    </w:tr>
  </w:tbl>
  <w:sdt>
    <w:sdtPr>
      <w:id w:val="1337648148"/>
      <w:docPartObj>
        <w:docPartGallery w:val="Watermarks"/>
        <w:docPartUnique/>
      </w:docPartObj>
    </w:sdtPr>
    <w:sdtEndPr/>
    <w:sdtContent>
      <w:p w14:paraId="748BA42E" w14:textId="2B77A40D" w:rsidR="00A73F41" w:rsidRDefault="00226689">
        <w:pPr>
          <w:jc w:val="right"/>
        </w:pPr>
        <w:r>
          <w:rPr>
            <w:noProof/>
          </w:rPr>
          <w:pict w14:anchorId="2983D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4E44" w14:textId="77777777" w:rsidR="00D21840" w:rsidRDefault="00D21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4"/>
  </w:num>
  <w:num w:numId="5">
    <w:abstractNumId w:val="0"/>
  </w:num>
  <w:num w:numId="6">
    <w:abstractNumId w:val="20"/>
  </w:num>
  <w:num w:numId="7">
    <w:abstractNumId w:val="16"/>
  </w:num>
  <w:num w:numId="8">
    <w:abstractNumId w:val="2"/>
  </w:num>
  <w:num w:numId="9">
    <w:abstractNumId w:val="19"/>
  </w:num>
  <w:num w:numId="10">
    <w:abstractNumId w:val="15"/>
  </w:num>
  <w:num w:numId="11">
    <w:abstractNumId w:val="24"/>
  </w:num>
  <w:num w:numId="12">
    <w:abstractNumId w:val="13"/>
  </w:num>
  <w:num w:numId="13">
    <w:abstractNumId w:val="17"/>
  </w:num>
  <w:num w:numId="14">
    <w:abstractNumId w:val="22"/>
  </w:num>
  <w:num w:numId="15">
    <w:abstractNumId w:val="11"/>
  </w:num>
  <w:num w:numId="16">
    <w:abstractNumId w:val="25"/>
  </w:num>
  <w:num w:numId="17">
    <w:abstractNumId w:val="10"/>
  </w:num>
  <w:num w:numId="18">
    <w:abstractNumId w:val="27"/>
  </w:num>
  <w:num w:numId="19">
    <w:abstractNumId w:val="4"/>
  </w:num>
  <w:num w:numId="20">
    <w:abstractNumId w:val="1"/>
  </w:num>
  <w:num w:numId="21">
    <w:abstractNumId w:val="21"/>
  </w:num>
  <w:num w:numId="22">
    <w:abstractNumId w:val="12"/>
  </w:num>
  <w:num w:numId="23">
    <w:abstractNumId w:val="7"/>
  </w:num>
  <w:num w:numId="24">
    <w:abstractNumId w:val="9"/>
  </w:num>
  <w:num w:numId="25">
    <w:abstractNumId w:val="23"/>
  </w:num>
  <w:num w:numId="26">
    <w:abstractNumId w:val="26"/>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75"/>
    <w:rsid w:val="00147F70"/>
    <w:rsid w:val="001C641D"/>
    <w:rsid w:val="001F54BA"/>
    <w:rsid w:val="00226689"/>
    <w:rsid w:val="00250047"/>
    <w:rsid w:val="002679DA"/>
    <w:rsid w:val="002938F5"/>
    <w:rsid w:val="002F1EF6"/>
    <w:rsid w:val="00356A75"/>
    <w:rsid w:val="003A28D4"/>
    <w:rsid w:val="003B10A8"/>
    <w:rsid w:val="00581AAB"/>
    <w:rsid w:val="00645244"/>
    <w:rsid w:val="00662384"/>
    <w:rsid w:val="00684ECF"/>
    <w:rsid w:val="006E3E7E"/>
    <w:rsid w:val="00881417"/>
    <w:rsid w:val="00884BFC"/>
    <w:rsid w:val="008E3D2D"/>
    <w:rsid w:val="008E55B7"/>
    <w:rsid w:val="009149DD"/>
    <w:rsid w:val="00922F09"/>
    <w:rsid w:val="00941E06"/>
    <w:rsid w:val="0096567B"/>
    <w:rsid w:val="00A4369B"/>
    <w:rsid w:val="00A70C58"/>
    <w:rsid w:val="00A73F41"/>
    <w:rsid w:val="00AA3CAA"/>
    <w:rsid w:val="00AE086A"/>
    <w:rsid w:val="00AE271B"/>
    <w:rsid w:val="00B24008"/>
    <w:rsid w:val="00B61212"/>
    <w:rsid w:val="00BD7532"/>
    <w:rsid w:val="00BF6848"/>
    <w:rsid w:val="00C373DB"/>
    <w:rsid w:val="00CA1A23"/>
    <w:rsid w:val="00D21840"/>
    <w:rsid w:val="00D51924"/>
    <w:rsid w:val="00DB12F7"/>
    <w:rsid w:val="00E60CCA"/>
    <w:rsid w:val="00E61432"/>
    <w:rsid w:val="00EC7DC2"/>
    <w:rsid w:val="00EE3E61"/>
    <w:rsid w:val="00F77FAF"/>
    <w:rsid w:val="00F93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48BA3B7"/>
  <w15:chartTrackingRefBased/>
  <w15:docId w15:val="{38F94F2F-4534-46D0-9705-A65C407C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public-draftstyledefault-block">
    <w:name w:val="public-draftstyledefault-block"/>
    <w:basedOn w:val="DefaultParagraphFont"/>
    <w:rsid w:val="008E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qs@nzqa.govt.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zqa.govt.nz/framework/search/index.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NZQA</Company>
  <LinksUpToDate>false</LinksUpToDate>
  <CharactersWithSpaces>2563</CharactersWithSpaces>
  <SharedDoc>false</SharedDoc>
  <HLinks>
    <vt:vector size="6" baseType="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Cochrane</dc:creator>
  <cp:keywords/>
  <cp:lastModifiedBy>Dawn McGrigor</cp:lastModifiedBy>
  <cp:revision>10</cp:revision>
  <cp:lastPrinted>2010-06-03T23:16:00Z</cp:lastPrinted>
  <dcterms:created xsi:type="dcterms:W3CDTF">2021-01-11T01:07:00Z</dcterms:created>
  <dcterms:modified xsi:type="dcterms:W3CDTF">2021-10-26T02:23:00Z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3</vt:i4>
  </property>
  <property fmtid="{D5CDD505-2E9C-101B-9397-08002B2CF9AE}" pid="4" name="_TemplateLanguage">
    <vt:lpwstr>English</vt:lpwstr>
  </property>
  <property fmtid="{D5CDD505-2E9C-101B-9397-08002B2CF9AE}" pid="5" name="_ReviewingToolsShownOnce">
    <vt:lpwstr/>
  </property>
</Properties>
</file>